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3E" w:rsidRPr="00A865CD" w:rsidRDefault="002A4D98" w:rsidP="00A865CD">
      <w:pPr>
        <w:pStyle w:val="Titre"/>
        <w:rPr>
          <w:sz w:val="36"/>
          <w:szCs w:val="36"/>
        </w:rPr>
      </w:pPr>
      <w:bookmarkStart w:id="0" w:name="_GoBack"/>
      <w:bookmarkEnd w:id="0"/>
      <w:r w:rsidRPr="00A865CD">
        <w:rPr>
          <w:sz w:val="36"/>
          <w:szCs w:val="36"/>
        </w:rPr>
        <w:t>PERSPECTIVES POUR LES FINANCES COMMUNALES BRUXELLOISES</w:t>
      </w:r>
    </w:p>
    <w:p w:rsidR="002B57EE" w:rsidRDefault="002B57EE" w:rsidP="00A24A94">
      <w:pPr>
        <w:spacing w:after="0" w:line="240" w:lineRule="auto"/>
        <w:rPr>
          <w:sz w:val="24"/>
          <w:szCs w:val="24"/>
        </w:rPr>
      </w:pPr>
      <w:r>
        <w:rPr>
          <w:sz w:val="24"/>
          <w:szCs w:val="24"/>
        </w:rPr>
        <w:t>Marc Cools, Président</w:t>
      </w:r>
      <w:r w:rsidR="00A24A94">
        <w:rPr>
          <w:sz w:val="24"/>
          <w:szCs w:val="24"/>
        </w:rPr>
        <w:t xml:space="preserve"> de l’</w:t>
      </w:r>
      <w:r w:rsidR="00A24A94" w:rsidRPr="002B57EE">
        <w:rPr>
          <w:sz w:val="24"/>
          <w:szCs w:val="24"/>
        </w:rPr>
        <w:t xml:space="preserve">Association de la Ville et des Communes de </w:t>
      </w:r>
      <w:r w:rsidR="00A24A94">
        <w:rPr>
          <w:sz w:val="24"/>
          <w:szCs w:val="24"/>
        </w:rPr>
        <w:t>la Région de B</w:t>
      </w:r>
      <w:r w:rsidR="00A24A94" w:rsidRPr="002B57EE">
        <w:rPr>
          <w:sz w:val="24"/>
          <w:szCs w:val="24"/>
        </w:rPr>
        <w:t>ruxelles-Capitale</w:t>
      </w:r>
      <w:r w:rsidR="00A24A94">
        <w:rPr>
          <w:sz w:val="24"/>
          <w:szCs w:val="24"/>
        </w:rPr>
        <w:t>, Premier Echevin d’Uccle</w:t>
      </w:r>
    </w:p>
    <w:p w:rsidR="00A865CD" w:rsidRDefault="002B57EE" w:rsidP="0085488F">
      <w:pPr>
        <w:spacing w:after="0" w:line="240" w:lineRule="auto"/>
        <w:rPr>
          <w:sz w:val="24"/>
          <w:szCs w:val="24"/>
        </w:rPr>
      </w:pPr>
      <w:r>
        <w:rPr>
          <w:sz w:val="24"/>
          <w:szCs w:val="24"/>
        </w:rPr>
        <w:t>Robert Petit, Conseiller</w:t>
      </w:r>
      <w:r w:rsidR="00A24A94">
        <w:rPr>
          <w:sz w:val="24"/>
          <w:szCs w:val="24"/>
        </w:rPr>
        <w:t xml:space="preserve"> à l’</w:t>
      </w:r>
      <w:r w:rsidR="00A24A94" w:rsidRPr="002B57EE">
        <w:rPr>
          <w:sz w:val="24"/>
          <w:szCs w:val="24"/>
        </w:rPr>
        <w:t xml:space="preserve">Association de la Ville et des Communes de </w:t>
      </w:r>
      <w:r w:rsidR="00A24A94">
        <w:rPr>
          <w:sz w:val="24"/>
          <w:szCs w:val="24"/>
        </w:rPr>
        <w:t>la Région de B</w:t>
      </w:r>
      <w:r w:rsidR="00A24A94" w:rsidRPr="002B57EE">
        <w:rPr>
          <w:sz w:val="24"/>
          <w:szCs w:val="24"/>
        </w:rPr>
        <w:t>ruxelles-Capitale</w:t>
      </w:r>
      <w:r>
        <w:rPr>
          <w:sz w:val="24"/>
          <w:szCs w:val="24"/>
        </w:rPr>
        <w:t>.</w:t>
      </w:r>
    </w:p>
    <w:p w:rsidR="001B434B" w:rsidRPr="001B434B" w:rsidRDefault="001B434B" w:rsidP="0085488F">
      <w:pPr>
        <w:spacing w:after="0" w:line="240" w:lineRule="auto"/>
        <w:rPr>
          <w:sz w:val="10"/>
          <w:szCs w:val="10"/>
        </w:rPr>
      </w:pPr>
    </w:p>
    <w:p w:rsidR="0085488F" w:rsidRPr="001B434B" w:rsidRDefault="0085488F" w:rsidP="0085488F">
      <w:pPr>
        <w:spacing w:after="0" w:line="240" w:lineRule="auto"/>
        <w:rPr>
          <w:b/>
          <w:i/>
          <w:sz w:val="14"/>
          <w:szCs w:val="14"/>
        </w:rPr>
      </w:pPr>
    </w:p>
    <w:p w:rsidR="002969DA" w:rsidRPr="001B434B" w:rsidRDefault="00FC4A9E" w:rsidP="00452C70">
      <w:pPr>
        <w:pStyle w:val="Titre"/>
        <w:rPr>
          <w:sz w:val="36"/>
          <w:szCs w:val="36"/>
        </w:rPr>
      </w:pPr>
      <w:r w:rsidRPr="001B434B">
        <w:rPr>
          <w:sz w:val="36"/>
          <w:szCs w:val="36"/>
        </w:rPr>
        <w:t xml:space="preserve">1 </w:t>
      </w:r>
      <w:r w:rsidR="002969DA" w:rsidRPr="001B434B">
        <w:rPr>
          <w:sz w:val="36"/>
          <w:szCs w:val="36"/>
        </w:rPr>
        <w:t>Introduction</w:t>
      </w:r>
    </w:p>
    <w:p w:rsidR="00B41287" w:rsidRDefault="00A24A94" w:rsidP="00A24A94">
      <w:pPr>
        <w:spacing w:line="240" w:lineRule="auto"/>
        <w:jc w:val="both"/>
      </w:pPr>
      <w:r>
        <w:t>L</w:t>
      </w:r>
      <w:r w:rsidR="00E11B72">
        <w:t xml:space="preserve">a Région de Bruxelles-Capitale </w:t>
      </w:r>
      <w:r w:rsidR="002B57EE">
        <w:t xml:space="preserve">et les 19 communes qui la composent </w:t>
      </w:r>
      <w:r w:rsidR="00E11B72">
        <w:t>sont soumises à une évolution et une variation rapides de nombreux facteurs influençant leurs finances, facteurs sur lesquels elles ont relativement peu d’influence : évolution démographi</w:t>
      </w:r>
      <w:r w:rsidR="00B41287">
        <w:t>que, évolution socio-économique de la population, évolution de l’emploi, du chômage, évolution de la demande d’aide sociale, évolution de la capacité contributive des habitants,…</w:t>
      </w:r>
    </w:p>
    <w:p w:rsidR="00B41287" w:rsidRDefault="00B41287" w:rsidP="002969DA">
      <w:pPr>
        <w:spacing w:line="240" w:lineRule="auto"/>
        <w:jc w:val="both"/>
      </w:pPr>
      <w:r>
        <w:t>Ces diverses évolutions doivent  être considérées dans un contexte bruxellois particulier de proximité fonctionnelle et financière entre d’une part, les communes et d’autre</w:t>
      </w:r>
      <w:r w:rsidR="00D944E1">
        <w:t xml:space="preserve"> part</w:t>
      </w:r>
      <w:r>
        <w:t>, la Région de Bruxelles-Capitale disposant de la tutelle sur ces dernières.</w:t>
      </w:r>
    </w:p>
    <w:p w:rsidR="00452C70" w:rsidRDefault="00B41287" w:rsidP="0085488F">
      <w:pPr>
        <w:spacing w:line="240" w:lineRule="auto"/>
        <w:jc w:val="both"/>
      </w:pPr>
      <w:r>
        <w:t>Enfin,</w:t>
      </w:r>
      <w:r w:rsidR="002B57EE">
        <w:t xml:space="preserve"> il y a lieu de tenir compte </w:t>
      </w:r>
      <w:r>
        <w:t xml:space="preserve"> </w:t>
      </w:r>
      <w:r w:rsidR="002B57EE">
        <w:t xml:space="preserve">de </w:t>
      </w:r>
      <w:r>
        <w:t>l’évolution financière de la Région et de</w:t>
      </w:r>
      <w:r w:rsidR="002B57EE">
        <w:t xml:space="preserve"> </w:t>
      </w:r>
      <w:r>
        <w:t>s</w:t>
      </w:r>
      <w:r w:rsidR="002B57EE">
        <w:t xml:space="preserve">es </w:t>
      </w:r>
      <w:r>
        <w:t xml:space="preserve">communes ces dernières années, </w:t>
      </w:r>
      <w:r w:rsidR="002B57EE">
        <w:t xml:space="preserve">en lien avec </w:t>
      </w:r>
      <w:r>
        <w:t xml:space="preserve">les diverses réformes institutionnelles dont la plus importante </w:t>
      </w:r>
      <w:r w:rsidR="002B57EE">
        <w:t xml:space="preserve">a été en 1989 </w:t>
      </w:r>
      <w:r>
        <w:t>la mise en œuvre d’une véritable Région centrale pour le pays</w:t>
      </w:r>
      <w:r w:rsidR="002B57EE">
        <w:t>.</w:t>
      </w:r>
      <w:r>
        <w:t xml:space="preserve"> </w:t>
      </w:r>
    </w:p>
    <w:p w:rsidR="001B434B" w:rsidRPr="001B434B" w:rsidRDefault="001B434B" w:rsidP="0085488F">
      <w:pPr>
        <w:spacing w:line="240" w:lineRule="auto"/>
        <w:jc w:val="both"/>
        <w:rPr>
          <w:sz w:val="2"/>
          <w:szCs w:val="2"/>
        </w:rPr>
      </w:pPr>
    </w:p>
    <w:p w:rsidR="00F31D24" w:rsidRPr="001B434B" w:rsidRDefault="00FC4A9E" w:rsidP="00452C70">
      <w:pPr>
        <w:pStyle w:val="Titre"/>
        <w:rPr>
          <w:sz w:val="36"/>
          <w:szCs w:val="36"/>
        </w:rPr>
      </w:pPr>
      <w:r w:rsidRPr="001B434B">
        <w:rPr>
          <w:sz w:val="36"/>
          <w:szCs w:val="36"/>
        </w:rPr>
        <w:t xml:space="preserve">2 </w:t>
      </w:r>
      <w:r w:rsidR="00F31D24" w:rsidRPr="001B434B">
        <w:rPr>
          <w:sz w:val="36"/>
          <w:szCs w:val="36"/>
        </w:rPr>
        <w:t>Rétrospective : faits marquants</w:t>
      </w:r>
    </w:p>
    <w:p w:rsidR="00833C66" w:rsidRPr="00833C66" w:rsidRDefault="00833C66" w:rsidP="00F31D24">
      <w:pPr>
        <w:jc w:val="both"/>
        <w:rPr>
          <w:u w:val="single"/>
        </w:rPr>
      </w:pPr>
      <w:r w:rsidRPr="00833C66">
        <w:rPr>
          <w:u w:val="single"/>
        </w:rPr>
        <w:t>Un rabotage constant de la part des communes bruxelloises dans le Fonds des Communes avant sa régionalisation</w:t>
      </w:r>
    </w:p>
    <w:p w:rsidR="00B70EC1" w:rsidRDefault="00B70EC1" w:rsidP="00B70EC1">
      <w:pPr>
        <w:spacing w:line="240" w:lineRule="auto"/>
        <w:jc w:val="both"/>
      </w:pPr>
      <w:r>
        <w:t xml:space="preserve">Pour les communes bruxelloises, </w:t>
      </w:r>
      <w:r w:rsidR="007A1FE2">
        <w:t xml:space="preserve">un des </w:t>
      </w:r>
      <w:r>
        <w:t>fait</w:t>
      </w:r>
      <w:r w:rsidR="007A1FE2">
        <w:t>s</w:t>
      </w:r>
      <w:r>
        <w:t xml:space="preserve"> le</w:t>
      </w:r>
      <w:r w:rsidR="007A1FE2">
        <w:t>s</w:t>
      </w:r>
      <w:r>
        <w:t xml:space="preserve"> plus marquant en matière financière fut le rabotage constant de leur part dans le Fonds des Communes encore national avant la régionalisation définitive de celui-ci </w:t>
      </w:r>
      <w:r w:rsidRPr="008D6D47">
        <w:t>en 1989</w:t>
      </w:r>
      <w:r w:rsidR="008D6D47" w:rsidRPr="008D6D47">
        <w:t>.</w:t>
      </w:r>
    </w:p>
    <w:p w:rsidR="007A1FE2" w:rsidRDefault="008D6D47" w:rsidP="00B70EC1">
      <w:pPr>
        <w:spacing w:line="240" w:lineRule="auto"/>
        <w:jc w:val="both"/>
      </w:pPr>
      <w:r>
        <w:t>Ainsi, hors dotation spéciale de la Ville de Bruxelles, le Fonds s’élevait à 38.7 milliards de FB, soit 958.3 millions € répartis entre Flandre, Wallonie et Bruxelles à raison de 50.60 %, 28.90 % et 20.50 %.</w:t>
      </w:r>
    </w:p>
    <w:p w:rsidR="008D6D47" w:rsidRDefault="008D6D47" w:rsidP="00B70EC1">
      <w:pPr>
        <w:spacing w:line="240" w:lineRule="auto"/>
        <w:jc w:val="both"/>
      </w:pPr>
      <w:r>
        <w:t>Ce qui représentait 196.6 millions € pour les communes bruxelloises.</w:t>
      </w:r>
    </w:p>
    <w:p w:rsidR="00983621" w:rsidRDefault="00983621" w:rsidP="00B70EC1">
      <w:pPr>
        <w:spacing w:line="240" w:lineRule="auto"/>
        <w:jc w:val="both"/>
      </w:pPr>
      <w:r>
        <w:t>A partir de 1977 fut appliquée une nouvelle clé de répartition du Fonds sur base de trois critères : la population, la superficie et le r</w:t>
      </w:r>
      <w:r w:rsidR="00883057">
        <w:t>endement de l’IP</w:t>
      </w:r>
      <w:r>
        <w:t>P. Le critère de superficie fut bien entendu totalement défavorable à Bruxelles (0.53 % de la superficie totale du pays) mais que l’on fit accepter aux Bruxellois en leur indiquant que le rendement de l’IPP leur était favorable (16.85 % du rendement national).</w:t>
      </w:r>
    </w:p>
    <w:p w:rsidR="000748BE" w:rsidRDefault="00983621" w:rsidP="00B70EC1">
      <w:pPr>
        <w:spacing w:line="240" w:lineRule="auto"/>
        <w:jc w:val="both"/>
      </w:pPr>
      <w:r>
        <w:t xml:space="preserve">Sur base de cette triple clé, la part de Bruxelles chutait brutalement de 20.50 % à 9.36 %, soit 89.7 millions € </w:t>
      </w:r>
      <w:r w:rsidR="000748BE">
        <w:t xml:space="preserve">d’où une perte sèche </w:t>
      </w:r>
      <w:r>
        <w:t>de 106.9 millions €</w:t>
      </w:r>
      <w:r w:rsidR="000748BE">
        <w:t xml:space="preserve"> exclusivement au profit des communes wallonnes</w:t>
      </w:r>
      <w:r>
        <w:t>.</w:t>
      </w:r>
    </w:p>
    <w:p w:rsidR="000748BE" w:rsidRDefault="000748BE" w:rsidP="00B70EC1">
      <w:pPr>
        <w:spacing w:line="240" w:lineRule="auto"/>
        <w:jc w:val="both"/>
      </w:pPr>
      <w:r>
        <w:lastRenderedPageBreak/>
        <w:t>Un</w:t>
      </w:r>
      <w:r w:rsidR="001B434B">
        <w:t>e</w:t>
      </w:r>
      <w:r>
        <w:t xml:space="preserve"> période transitoire de cinq ans fut appliquée pour diminuer progressivement la part bruxelloise jusqu’ à  9.36 %  appliqués dès 1981.</w:t>
      </w:r>
    </w:p>
    <w:p w:rsidR="000748BE" w:rsidRDefault="000748BE" w:rsidP="00B70EC1">
      <w:pPr>
        <w:spacing w:line="240" w:lineRule="auto"/>
        <w:jc w:val="both"/>
      </w:pPr>
      <w:r>
        <w:t>Cependant, compte tenu de l’évolution à la baisse de la part du rendement IPP bruxellois dans l’IPP national, déjà en 1981, la part de Bruxelles dans le Fonds n’était plus que de 8.28 %.</w:t>
      </w:r>
    </w:p>
    <w:p w:rsidR="00D66F26" w:rsidRDefault="00D66F26" w:rsidP="00B70EC1">
      <w:pPr>
        <w:spacing w:line="240" w:lineRule="auto"/>
        <w:jc w:val="both"/>
      </w:pPr>
      <w:r>
        <w:t xml:space="preserve">A partir de </w:t>
      </w:r>
      <w:r w:rsidR="000748BE">
        <w:t xml:space="preserve">1981, la part bruxelloise chuta encore </w:t>
      </w:r>
      <w:r>
        <w:t xml:space="preserve">sans discontinuer pour atteindre 7.38 % en 1988, avant la promulgation de la Loi spéciale de financement en janvier 1989. En 1988, la clé de répartition du Fonds des Communes entre Flandre, Wallonie et Bruxelles s’établissait respectivement à 53.17 %, 39.45 % et 7.38 %. </w:t>
      </w:r>
    </w:p>
    <w:p w:rsidR="00833C66" w:rsidRDefault="00F372D6" w:rsidP="00B70EC1">
      <w:pPr>
        <w:spacing w:line="240" w:lineRule="auto"/>
        <w:jc w:val="both"/>
        <w:rPr>
          <w:u w:val="single"/>
        </w:rPr>
      </w:pPr>
      <w:r>
        <w:rPr>
          <w:u w:val="single"/>
        </w:rPr>
        <w:t>U</w:t>
      </w:r>
      <w:r w:rsidR="00833C66">
        <w:rPr>
          <w:u w:val="single"/>
        </w:rPr>
        <w:t>n fort accroissement de la population</w:t>
      </w:r>
    </w:p>
    <w:p w:rsidR="007A1FE2" w:rsidRDefault="005946DA" w:rsidP="00B70EC1">
      <w:pPr>
        <w:spacing w:line="240" w:lineRule="auto"/>
        <w:jc w:val="both"/>
      </w:pPr>
      <w:r w:rsidRPr="007A1FE2">
        <w:t xml:space="preserve">Deuxième fait marquant : </w:t>
      </w:r>
      <w:r>
        <w:t>la forte augmentation de la population bruxelloise, comparativement aux quatre autres grandes villes du pays.</w:t>
      </w:r>
    </w:p>
    <w:p w:rsidR="007A1FE2" w:rsidRDefault="007A1FE2" w:rsidP="00B70EC1">
      <w:pPr>
        <w:spacing w:line="240" w:lineRule="auto"/>
        <w:jc w:val="both"/>
      </w:pPr>
      <w:r>
        <w:t>Après des années de diminution jusqu’à l’aube des années 2000 (exode vers la périphérie des classes moyennes), la population bruxelloise n’a depuis cessé d’augmenter</w:t>
      </w:r>
      <w:r w:rsidR="00F372D6">
        <w:t xml:space="preserve"> avec des soldes naturels (naissances moins décès) et migratoires (entrées moins sorties) positifs.</w:t>
      </w:r>
      <w:r>
        <w:t xml:space="preserve"> </w:t>
      </w:r>
    </w:p>
    <w:p w:rsidR="007A1FE2" w:rsidRDefault="007A1FE2" w:rsidP="00B70EC1">
      <w:pPr>
        <w:spacing w:line="240" w:lineRule="auto"/>
        <w:jc w:val="both"/>
        <w:rPr>
          <w:u w:val="single"/>
        </w:rPr>
      </w:pPr>
    </w:p>
    <w:tbl>
      <w:tblPr>
        <w:tblW w:w="7212" w:type="dxa"/>
        <w:jc w:val="center"/>
        <w:tblInd w:w="55" w:type="dxa"/>
        <w:tblCellMar>
          <w:left w:w="70" w:type="dxa"/>
          <w:right w:w="70" w:type="dxa"/>
        </w:tblCellMar>
        <w:tblLook w:val="04A0"/>
      </w:tblPr>
      <w:tblGrid>
        <w:gridCol w:w="1770"/>
        <w:gridCol w:w="1934"/>
        <w:gridCol w:w="1934"/>
        <w:gridCol w:w="1574"/>
      </w:tblGrid>
      <w:tr w:rsidR="00833C66" w:rsidRPr="00833C66" w:rsidTr="007A1FE2">
        <w:trPr>
          <w:trHeight w:val="255"/>
          <w:jc w:val="center"/>
        </w:trPr>
        <w:tc>
          <w:tcPr>
            <w:tcW w:w="72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POPULATION</w:t>
            </w:r>
          </w:p>
        </w:tc>
      </w:tr>
      <w:tr w:rsidR="00833C66" w:rsidRPr="00833C66" w:rsidTr="007A1FE2">
        <w:trPr>
          <w:trHeight w:val="255"/>
          <w:jc w:val="center"/>
        </w:trPr>
        <w:tc>
          <w:tcPr>
            <w:tcW w:w="72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C66" w:rsidRPr="00833C66" w:rsidRDefault="007A1FE2" w:rsidP="00833C66">
            <w:pPr>
              <w:spacing w:after="0" w:line="240" w:lineRule="auto"/>
              <w:jc w:val="center"/>
              <w:rPr>
                <w:rFonts w:ascii="Arial" w:eastAsia="Times New Roman" w:hAnsi="Arial" w:cs="Arial"/>
                <w:b/>
                <w:bCs/>
                <w:sz w:val="20"/>
                <w:szCs w:val="20"/>
                <w:lang w:eastAsia="fr-BE"/>
              </w:rPr>
            </w:pPr>
            <w:r>
              <w:rPr>
                <w:rFonts w:ascii="Arial" w:eastAsia="Times New Roman" w:hAnsi="Arial" w:cs="Arial"/>
                <w:b/>
                <w:bCs/>
                <w:sz w:val="20"/>
                <w:szCs w:val="20"/>
                <w:lang w:eastAsia="fr-BE"/>
              </w:rPr>
              <w:t>P</w:t>
            </w:r>
            <w:r w:rsidR="00833C66" w:rsidRPr="00833C66">
              <w:rPr>
                <w:rFonts w:ascii="Arial" w:eastAsia="Times New Roman" w:hAnsi="Arial" w:cs="Arial"/>
                <w:b/>
                <w:bCs/>
                <w:sz w:val="20"/>
                <w:szCs w:val="20"/>
                <w:lang w:eastAsia="fr-BE"/>
              </w:rPr>
              <w:t>opulation résidente de droit</w:t>
            </w:r>
            <w:r>
              <w:rPr>
                <w:rFonts w:ascii="Arial" w:eastAsia="Times New Roman" w:hAnsi="Arial" w:cs="Arial"/>
                <w:b/>
                <w:bCs/>
                <w:sz w:val="20"/>
                <w:szCs w:val="20"/>
                <w:lang w:eastAsia="fr-BE"/>
              </w:rPr>
              <w:t xml:space="preserve"> au 01.01</w:t>
            </w:r>
          </w:p>
        </w:tc>
      </w:tr>
      <w:tr w:rsidR="007A1FE2" w:rsidRPr="00833C66" w:rsidTr="00BA4F63">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7A1FE2" w:rsidRPr="00833C66" w:rsidRDefault="007A1FE2" w:rsidP="00833C66">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 </w:t>
            </w:r>
          </w:p>
        </w:tc>
        <w:tc>
          <w:tcPr>
            <w:tcW w:w="1934" w:type="dxa"/>
            <w:tcBorders>
              <w:top w:val="nil"/>
              <w:left w:val="nil"/>
              <w:bottom w:val="single" w:sz="4" w:space="0" w:color="auto"/>
              <w:right w:val="single" w:sz="4" w:space="0" w:color="auto"/>
            </w:tcBorders>
            <w:shd w:val="clear" w:color="auto" w:fill="auto"/>
            <w:noWrap/>
            <w:vAlign w:val="bottom"/>
            <w:hideMark/>
          </w:tcPr>
          <w:p w:rsidR="007A1FE2" w:rsidRPr="00833C66" w:rsidRDefault="007A1FE2" w:rsidP="00833C66">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 </w:t>
            </w:r>
          </w:p>
        </w:tc>
        <w:tc>
          <w:tcPr>
            <w:tcW w:w="1934" w:type="dxa"/>
            <w:tcBorders>
              <w:top w:val="nil"/>
              <w:left w:val="nil"/>
              <w:bottom w:val="single" w:sz="4" w:space="0" w:color="auto"/>
              <w:right w:val="single" w:sz="4" w:space="0" w:color="auto"/>
            </w:tcBorders>
            <w:shd w:val="clear" w:color="auto" w:fill="auto"/>
            <w:noWrap/>
            <w:vAlign w:val="bottom"/>
            <w:hideMark/>
          </w:tcPr>
          <w:p w:rsidR="007A1FE2" w:rsidRPr="00833C66" w:rsidRDefault="007A1FE2" w:rsidP="00833C66">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 </w:t>
            </w:r>
          </w:p>
        </w:tc>
        <w:tc>
          <w:tcPr>
            <w:tcW w:w="1574" w:type="dxa"/>
            <w:tcBorders>
              <w:top w:val="nil"/>
              <w:left w:val="nil"/>
              <w:bottom w:val="single" w:sz="4" w:space="0" w:color="auto"/>
              <w:right w:val="single" w:sz="4" w:space="0" w:color="auto"/>
            </w:tcBorders>
            <w:shd w:val="clear" w:color="auto" w:fill="auto"/>
            <w:noWrap/>
            <w:vAlign w:val="bottom"/>
            <w:hideMark/>
          </w:tcPr>
          <w:p w:rsidR="007A1FE2" w:rsidRPr="00833C66" w:rsidRDefault="007A1FE2" w:rsidP="007A1FE2">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  </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 </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1994</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2012</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Accroissement</w:t>
            </w:r>
          </w:p>
        </w:tc>
      </w:tr>
      <w:tr w:rsidR="007A1FE2"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7A1FE2" w:rsidRPr="00833C66" w:rsidRDefault="007A1FE2"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 </w:t>
            </w:r>
          </w:p>
        </w:tc>
        <w:tc>
          <w:tcPr>
            <w:tcW w:w="1934" w:type="dxa"/>
            <w:tcBorders>
              <w:top w:val="nil"/>
              <w:left w:val="nil"/>
              <w:bottom w:val="single" w:sz="4" w:space="0" w:color="auto"/>
              <w:right w:val="single" w:sz="4" w:space="0" w:color="auto"/>
            </w:tcBorders>
            <w:shd w:val="clear" w:color="auto" w:fill="auto"/>
            <w:noWrap/>
            <w:vAlign w:val="bottom"/>
            <w:hideMark/>
          </w:tcPr>
          <w:p w:rsidR="007A1FE2" w:rsidRPr="00833C66" w:rsidRDefault="007A1FE2"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 </w:t>
            </w:r>
          </w:p>
        </w:tc>
        <w:tc>
          <w:tcPr>
            <w:tcW w:w="1934" w:type="dxa"/>
            <w:tcBorders>
              <w:top w:val="nil"/>
              <w:left w:val="nil"/>
              <w:bottom w:val="single" w:sz="4" w:space="0" w:color="auto"/>
              <w:right w:val="single" w:sz="4" w:space="0" w:color="auto"/>
            </w:tcBorders>
            <w:shd w:val="clear" w:color="auto" w:fill="auto"/>
            <w:noWrap/>
            <w:vAlign w:val="bottom"/>
            <w:hideMark/>
          </w:tcPr>
          <w:p w:rsidR="007A1FE2" w:rsidRPr="00833C66" w:rsidRDefault="007A1FE2"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 </w:t>
            </w:r>
          </w:p>
        </w:tc>
        <w:tc>
          <w:tcPr>
            <w:tcW w:w="1574" w:type="dxa"/>
            <w:tcBorders>
              <w:top w:val="nil"/>
              <w:left w:val="nil"/>
              <w:bottom w:val="single" w:sz="4" w:space="0" w:color="auto"/>
              <w:right w:val="single" w:sz="4" w:space="0" w:color="auto"/>
            </w:tcBorders>
            <w:shd w:val="clear" w:color="auto" w:fill="auto"/>
            <w:noWrap/>
            <w:vAlign w:val="bottom"/>
            <w:hideMark/>
          </w:tcPr>
          <w:p w:rsidR="007A1FE2" w:rsidRPr="00833C66" w:rsidRDefault="007A1FE2"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 </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RBC</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951.580</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1.119.088</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17,60%</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 </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 </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20"/>
                <w:szCs w:val="20"/>
                <w:lang w:eastAsia="fr-BE"/>
              </w:rPr>
            </w:pPr>
            <w:r w:rsidRPr="00833C66">
              <w:rPr>
                <w:rFonts w:ascii="Arial" w:eastAsia="Times New Roman" w:hAnsi="Arial" w:cs="Arial"/>
                <w:sz w:val="20"/>
                <w:szCs w:val="20"/>
                <w:lang w:eastAsia="fr-BE"/>
              </w:rPr>
              <w:t> </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Anvers</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459.072</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493.517</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20"/>
                <w:szCs w:val="20"/>
                <w:lang w:eastAsia="fr-BE"/>
              </w:rPr>
            </w:pPr>
            <w:r w:rsidRPr="00833C66">
              <w:rPr>
                <w:rFonts w:ascii="Arial" w:eastAsia="Times New Roman" w:hAnsi="Arial" w:cs="Arial"/>
                <w:sz w:val="20"/>
                <w:szCs w:val="20"/>
                <w:lang w:eastAsia="fr-BE"/>
              </w:rPr>
              <w:t>7,50%</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Gand</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227.483</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247.486</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20"/>
                <w:szCs w:val="20"/>
                <w:lang w:eastAsia="fr-BE"/>
              </w:rPr>
            </w:pPr>
            <w:r w:rsidRPr="00833C66">
              <w:rPr>
                <w:rFonts w:ascii="Arial" w:eastAsia="Times New Roman" w:hAnsi="Arial" w:cs="Arial"/>
                <w:sz w:val="20"/>
                <w:szCs w:val="20"/>
                <w:lang w:eastAsia="fr-BE"/>
              </w:rPr>
              <w:t>8,79%</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Charleroi</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206.641</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203.464</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20"/>
                <w:szCs w:val="20"/>
                <w:lang w:eastAsia="fr-BE"/>
              </w:rPr>
            </w:pPr>
            <w:r w:rsidRPr="00833C66">
              <w:rPr>
                <w:rFonts w:ascii="Arial" w:eastAsia="Times New Roman" w:hAnsi="Arial" w:cs="Arial"/>
                <w:sz w:val="20"/>
                <w:szCs w:val="20"/>
                <w:lang w:eastAsia="fr-BE"/>
              </w:rPr>
              <w:t>-1,54%</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20"/>
                <w:szCs w:val="20"/>
                <w:lang w:eastAsia="fr-BE"/>
              </w:rPr>
            </w:pPr>
            <w:r w:rsidRPr="00833C66">
              <w:rPr>
                <w:rFonts w:ascii="Arial" w:eastAsia="Times New Roman" w:hAnsi="Arial" w:cs="Arial"/>
                <w:sz w:val="20"/>
                <w:szCs w:val="20"/>
                <w:lang w:eastAsia="fr-BE"/>
              </w:rPr>
              <w:t>Liège</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192.393</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20"/>
                <w:szCs w:val="20"/>
                <w:lang w:eastAsia="fr-BE"/>
              </w:rPr>
            </w:pPr>
            <w:r w:rsidRPr="00833C66">
              <w:rPr>
                <w:rFonts w:ascii="Arial" w:eastAsia="Times New Roman" w:hAnsi="Arial" w:cs="Arial"/>
                <w:sz w:val="20"/>
                <w:szCs w:val="20"/>
                <w:lang w:eastAsia="fr-BE"/>
              </w:rPr>
              <w:t>194.715</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20"/>
                <w:szCs w:val="20"/>
                <w:lang w:eastAsia="fr-BE"/>
              </w:rPr>
            </w:pPr>
            <w:r w:rsidRPr="00833C66">
              <w:rPr>
                <w:rFonts w:ascii="Arial" w:eastAsia="Times New Roman" w:hAnsi="Arial" w:cs="Arial"/>
                <w:sz w:val="20"/>
                <w:szCs w:val="20"/>
                <w:lang w:eastAsia="fr-BE"/>
              </w:rPr>
              <w:t>1,21%</w:t>
            </w:r>
          </w:p>
        </w:tc>
      </w:tr>
      <w:tr w:rsidR="00833C66" w:rsidRPr="00833C66" w:rsidTr="007A1FE2">
        <w:trPr>
          <w:trHeight w:val="255"/>
          <w:jc w:val="center"/>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4 GV</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1.085.589</w:t>
            </w:r>
          </w:p>
        </w:tc>
        <w:tc>
          <w:tcPr>
            <w:tcW w:w="193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1.139.182</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20"/>
                <w:szCs w:val="20"/>
                <w:lang w:eastAsia="fr-BE"/>
              </w:rPr>
            </w:pPr>
            <w:r w:rsidRPr="00833C66">
              <w:rPr>
                <w:rFonts w:ascii="Arial" w:eastAsia="Times New Roman" w:hAnsi="Arial" w:cs="Arial"/>
                <w:b/>
                <w:bCs/>
                <w:sz w:val="20"/>
                <w:szCs w:val="20"/>
                <w:lang w:eastAsia="fr-BE"/>
              </w:rPr>
              <w:t>4,94%</w:t>
            </w:r>
          </w:p>
        </w:tc>
      </w:tr>
    </w:tbl>
    <w:p w:rsidR="00833C66" w:rsidRPr="00F372D6" w:rsidRDefault="00883057" w:rsidP="00B70EC1">
      <w:pPr>
        <w:spacing w:line="240" w:lineRule="auto"/>
        <w:jc w:val="both"/>
        <w:rPr>
          <w:i/>
          <w:sz w:val="16"/>
          <w:szCs w:val="16"/>
        </w:rPr>
      </w:pPr>
      <w:r>
        <w:tab/>
        <w:t xml:space="preserve">    </w:t>
      </w:r>
      <w:r w:rsidR="00F372D6" w:rsidRPr="00F372D6">
        <w:rPr>
          <w:i/>
          <w:sz w:val="16"/>
          <w:szCs w:val="16"/>
        </w:rPr>
        <w:t>Source : INS et calculs propres</w:t>
      </w:r>
    </w:p>
    <w:p w:rsidR="00F372D6" w:rsidRPr="00883057" w:rsidRDefault="00F372D6" w:rsidP="00B70EC1">
      <w:pPr>
        <w:spacing w:line="240" w:lineRule="auto"/>
        <w:jc w:val="both"/>
        <w:rPr>
          <w:sz w:val="16"/>
          <w:szCs w:val="16"/>
          <w:u w:val="single"/>
        </w:rPr>
      </w:pPr>
    </w:p>
    <w:p w:rsidR="00AA7DE8" w:rsidRDefault="00833C66" w:rsidP="00B70EC1">
      <w:pPr>
        <w:spacing w:line="240" w:lineRule="auto"/>
        <w:jc w:val="both"/>
        <w:rPr>
          <w:u w:val="single"/>
        </w:rPr>
      </w:pPr>
      <w:r>
        <w:rPr>
          <w:u w:val="single"/>
        </w:rPr>
        <w:t>Une paupérisation croissante de la population</w:t>
      </w:r>
    </w:p>
    <w:p w:rsidR="002C1F2C" w:rsidRPr="00883057" w:rsidRDefault="00883057" w:rsidP="00B70EC1">
      <w:pPr>
        <w:spacing w:line="240" w:lineRule="auto"/>
        <w:jc w:val="both"/>
        <w:rPr>
          <w:sz w:val="16"/>
          <w:szCs w:val="16"/>
        </w:rPr>
      </w:pPr>
      <w:r>
        <w:t>C</w:t>
      </w:r>
      <w:r w:rsidR="007A1FE2" w:rsidRPr="007A1FE2">
        <w:t xml:space="preserve">ette augmentation de population </w:t>
      </w:r>
      <w:r w:rsidR="007A1FE2">
        <w:t>s’est accompagnée d’une paupérisation croissante</w:t>
      </w:r>
      <w:r w:rsidR="002C1F2C">
        <w:t>.</w:t>
      </w:r>
    </w:p>
    <w:tbl>
      <w:tblPr>
        <w:tblW w:w="9139" w:type="dxa"/>
        <w:tblInd w:w="55" w:type="dxa"/>
        <w:tblCellMar>
          <w:left w:w="70" w:type="dxa"/>
          <w:right w:w="70" w:type="dxa"/>
        </w:tblCellMar>
        <w:tblLook w:val="04A0"/>
      </w:tblPr>
      <w:tblGrid>
        <w:gridCol w:w="1360"/>
        <w:gridCol w:w="541"/>
        <w:gridCol w:w="974"/>
        <w:gridCol w:w="630"/>
        <w:gridCol w:w="974"/>
        <w:gridCol w:w="1031"/>
        <w:gridCol w:w="630"/>
        <w:gridCol w:w="974"/>
        <w:gridCol w:w="1031"/>
        <w:gridCol w:w="994"/>
      </w:tblGrid>
      <w:tr w:rsidR="00833C66" w:rsidRPr="00833C66" w:rsidTr="007A1FE2">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785" w:type="dxa"/>
            <w:gridSpan w:val="8"/>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REVENU IMPOSABLE PAR HABITANT</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785" w:type="dxa"/>
            <w:gridSpan w:val="8"/>
            <w:tcBorders>
              <w:top w:val="single" w:sz="4" w:space="0" w:color="auto"/>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Indice</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Indice</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Indice</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Année du revenu</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1994</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1994</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2007</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2007</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2007/1994</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2010</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2010</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2010/2007</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F372D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2010/</w:t>
            </w:r>
            <w:r w:rsidR="00F372D6">
              <w:rPr>
                <w:rFonts w:ascii="Arial" w:eastAsia="Times New Roman" w:hAnsi="Arial" w:cs="Arial"/>
                <w:sz w:val="16"/>
                <w:szCs w:val="16"/>
                <w:lang w:eastAsia="fr-BE"/>
              </w:rPr>
              <w:t>1994</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Pays = 100</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Pays = 100</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Progression</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Pays = 100</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Progression</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Progression</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RBC</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8.404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95,01</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12.374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84,23</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47,24%</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12.593</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80,73</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1,77%</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49,85%</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4 GV</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8.583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97,00</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13.472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91,70</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56,96%</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14.166</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90,82</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5,15%</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65,05%</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i/>
                <w:iCs/>
                <w:sz w:val="16"/>
                <w:szCs w:val="16"/>
                <w:lang w:eastAsia="fr-BE"/>
              </w:rPr>
            </w:pPr>
            <w:r w:rsidRPr="00833C66">
              <w:rPr>
                <w:rFonts w:ascii="Arial" w:eastAsia="Times New Roman" w:hAnsi="Arial" w:cs="Arial"/>
                <w:b/>
                <w:bCs/>
                <w:i/>
                <w:iCs/>
                <w:sz w:val="16"/>
                <w:szCs w:val="16"/>
                <w:lang w:eastAsia="fr-BE"/>
              </w:rPr>
              <w:t>Différence</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179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1.098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513,41%</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1.573</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sz w:val="16"/>
                <w:szCs w:val="16"/>
                <w:lang w:eastAsia="fr-BE"/>
              </w:rPr>
            </w:pPr>
            <w:r w:rsidRPr="00833C66">
              <w:rPr>
                <w:rFonts w:ascii="Arial" w:eastAsia="Times New Roman" w:hAnsi="Arial" w:cs="Arial"/>
                <w:sz w:val="16"/>
                <w:szCs w:val="16"/>
                <w:lang w:eastAsia="fr-BE"/>
              </w:rPr>
              <w:t>43,26%</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778,77%</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sz w:val="16"/>
                <w:szCs w:val="16"/>
                <w:lang w:eastAsia="fr-BE"/>
              </w:rPr>
            </w:pPr>
            <w:r w:rsidRPr="00833C66">
              <w:rPr>
                <w:rFonts w:ascii="Arial" w:eastAsia="Times New Roman" w:hAnsi="Arial" w:cs="Arial"/>
                <w:sz w:val="16"/>
                <w:szCs w:val="16"/>
                <w:lang w:eastAsia="fr-BE"/>
              </w:rPr>
              <w:t> </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w:t>
            </w:r>
          </w:p>
        </w:tc>
      </w:tr>
      <w:tr w:rsidR="00833C66" w:rsidRPr="00833C66" w:rsidTr="007A1FE2">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PAYS</w:t>
            </w:r>
          </w:p>
        </w:tc>
        <w:tc>
          <w:tcPr>
            <w:tcW w:w="54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8.845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100,00</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 xml:space="preserve">14.691  </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100,00</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center"/>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66,09%</w:t>
            </w:r>
          </w:p>
        </w:tc>
        <w:tc>
          <w:tcPr>
            <w:tcW w:w="630"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15.598</w:t>
            </w:r>
          </w:p>
        </w:tc>
        <w:tc>
          <w:tcPr>
            <w:tcW w:w="97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100,00</w:t>
            </w:r>
          </w:p>
        </w:tc>
        <w:tc>
          <w:tcPr>
            <w:tcW w:w="1031"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6,17%</w:t>
            </w:r>
          </w:p>
        </w:tc>
        <w:tc>
          <w:tcPr>
            <w:tcW w:w="994" w:type="dxa"/>
            <w:tcBorders>
              <w:top w:val="nil"/>
              <w:left w:val="nil"/>
              <w:bottom w:val="single" w:sz="4" w:space="0" w:color="auto"/>
              <w:right w:val="single" w:sz="4" w:space="0" w:color="auto"/>
            </w:tcBorders>
            <w:shd w:val="clear" w:color="auto" w:fill="auto"/>
            <w:noWrap/>
            <w:vAlign w:val="bottom"/>
            <w:hideMark/>
          </w:tcPr>
          <w:p w:rsidR="00833C66" w:rsidRPr="00833C66" w:rsidRDefault="00833C66" w:rsidP="00833C66">
            <w:pPr>
              <w:spacing w:after="0" w:line="240" w:lineRule="auto"/>
              <w:jc w:val="right"/>
              <w:rPr>
                <w:rFonts w:ascii="Arial" w:eastAsia="Times New Roman" w:hAnsi="Arial" w:cs="Arial"/>
                <w:b/>
                <w:bCs/>
                <w:sz w:val="16"/>
                <w:szCs w:val="16"/>
                <w:lang w:eastAsia="fr-BE"/>
              </w:rPr>
            </w:pPr>
            <w:r w:rsidRPr="00833C66">
              <w:rPr>
                <w:rFonts w:ascii="Arial" w:eastAsia="Times New Roman" w:hAnsi="Arial" w:cs="Arial"/>
                <w:b/>
                <w:bCs/>
                <w:sz w:val="16"/>
                <w:szCs w:val="16"/>
                <w:lang w:eastAsia="fr-BE"/>
              </w:rPr>
              <w:t>76,35%</w:t>
            </w:r>
          </w:p>
        </w:tc>
      </w:tr>
    </w:tbl>
    <w:p w:rsidR="00833C66" w:rsidRPr="00F372D6" w:rsidRDefault="00F372D6" w:rsidP="00B70EC1">
      <w:pPr>
        <w:spacing w:line="240" w:lineRule="auto"/>
        <w:jc w:val="both"/>
        <w:rPr>
          <w:i/>
          <w:sz w:val="16"/>
          <w:szCs w:val="16"/>
        </w:rPr>
      </w:pPr>
      <w:r w:rsidRPr="00F372D6">
        <w:rPr>
          <w:i/>
          <w:sz w:val="16"/>
          <w:szCs w:val="16"/>
        </w:rPr>
        <w:t>Source : INS et calculs propres</w:t>
      </w:r>
    </w:p>
    <w:p w:rsidR="00B70EC1" w:rsidRDefault="007A1FE2" w:rsidP="00B70EC1">
      <w:pPr>
        <w:spacing w:line="240" w:lineRule="auto"/>
        <w:jc w:val="both"/>
      </w:pPr>
      <w:r>
        <w:lastRenderedPageBreak/>
        <w:t>Rappelons qu’au début des années soixante, l’</w:t>
      </w:r>
      <w:r w:rsidR="00171A7F">
        <w:t>indice du revenu moyen bruxellois était de 130 par rapport à l’indice national 100.</w:t>
      </w:r>
    </w:p>
    <w:p w:rsidR="00AA7DE8" w:rsidRDefault="005E1643" w:rsidP="00A24A94">
      <w:pPr>
        <w:spacing w:line="240" w:lineRule="auto"/>
        <w:jc w:val="both"/>
      </w:pPr>
      <w:r>
        <w:t>Le fort accroissement de la population et sa paupérisation constante comparativement aux 4G</w:t>
      </w:r>
      <w:r w:rsidR="00A24A94">
        <w:t xml:space="preserve">randes </w:t>
      </w:r>
      <w:r>
        <w:t>V</w:t>
      </w:r>
      <w:r w:rsidR="00A24A94">
        <w:t>illes que sont Anvers, Gand, Charleroi et Liège</w:t>
      </w:r>
      <w:r>
        <w:t xml:space="preserve"> vont fortement influence</w:t>
      </w:r>
      <w:r w:rsidR="00F372D6">
        <w:t xml:space="preserve">r </w:t>
      </w:r>
      <w:r>
        <w:t xml:space="preserve">la composition des recettes et des dépenses des communes bruxelloises, le tout dans un contexte où les communes bruxelloises sont beaucoup moins aidées au niveau des recettes de fonds (régionalisation du Fonds des Communes) que </w:t>
      </w:r>
      <w:r w:rsidR="00A24A94">
        <w:t>leurs</w:t>
      </w:r>
      <w:r>
        <w:t xml:space="preserve"> quatre </w:t>
      </w:r>
      <w:r w:rsidR="00F372D6">
        <w:t>consœurs</w:t>
      </w:r>
      <w:r>
        <w:t>.</w:t>
      </w:r>
    </w:p>
    <w:p w:rsidR="00AA7DE8" w:rsidRDefault="00F84084" w:rsidP="00B70EC1">
      <w:pPr>
        <w:spacing w:line="240" w:lineRule="auto"/>
        <w:jc w:val="both"/>
      </w:pPr>
      <w:r>
        <w:t xml:space="preserve">L’appauvrissement de la population bruxelloise s’explique aussi par la croissance insuffisante des emplois destinés aux nouveaux actifs bruxellois entraînant le taux d’emploi régional de la population d’âge actif de 15 à 64 ans </w:t>
      </w:r>
      <w:r w:rsidR="00E2522F">
        <w:t>au niveau le plus bas du pays soit 57 % en 2012, contre 59 % en Wallonie et 68 % en Flandre.</w:t>
      </w:r>
      <w:r w:rsidR="00E2522F">
        <w:rPr>
          <w:rStyle w:val="Appelnotedebasdep"/>
        </w:rPr>
        <w:footnoteReference w:id="1"/>
      </w:r>
      <w:r w:rsidR="00B611BD">
        <w:t xml:space="preserve"> </w:t>
      </w:r>
      <w:r w:rsidR="00E2522F">
        <w:t xml:space="preserve"> Alors que la Région bruxelloise voit le nombre d’emplois occupés sur son territoire régulièrement augmenter ces dernières années.</w:t>
      </w:r>
    </w:p>
    <w:p w:rsidR="00E2522F" w:rsidRDefault="00B611BD" w:rsidP="004107CC">
      <w:pPr>
        <w:spacing w:line="240" w:lineRule="auto"/>
        <w:jc w:val="both"/>
      </w:pPr>
      <w:r>
        <w:t xml:space="preserve">Cette évolution défavorable se traduit dès lors en une forte augmentation </w:t>
      </w:r>
      <w:r w:rsidR="00EF14AC">
        <w:t xml:space="preserve">de la demande d’aides sociales des citoyens bruxellois auprès de leurs communes. </w:t>
      </w:r>
      <w:r w:rsidR="00EF14AC">
        <w:rPr>
          <w:rStyle w:val="Appelnotedebasdep"/>
        </w:rPr>
        <w:footnoteReference w:id="2"/>
      </w:r>
      <w:r w:rsidR="00EF14AC">
        <w:t xml:space="preserve"> </w:t>
      </w:r>
    </w:p>
    <w:p w:rsidR="00452C70" w:rsidRDefault="00EF14AC" w:rsidP="0085488F">
      <w:pPr>
        <w:spacing w:line="240" w:lineRule="auto"/>
        <w:jc w:val="both"/>
      </w:pPr>
      <w:r>
        <w:t>Ceci explique dès lors que l’augmentation entre 20</w:t>
      </w:r>
      <w:r w:rsidR="00A24A94">
        <w:t>0</w:t>
      </w:r>
      <w:r>
        <w:t xml:space="preserve">3 et 2012 des dotations des communes bruxelloises à leur CPAS représente plus du double de l’augmentation de ces mêmes dotations </w:t>
      </w:r>
      <w:r w:rsidR="00A24A94">
        <w:t xml:space="preserve">dans les </w:t>
      </w:r>
      <w:r>
        <w:t xml:space="preserve"> 4 autres grandes villes du pays.</w:t>
      </w:r>
    </w:p>
    <w:p w:rsidR="0085488F" w:rsidRPr="0085488F" w:rsidRDefault="0085488F" w:rsidP="0085488F">
      <w:pPr>
        <w:spacing w:line="240" w:lineRule="auto"/>
        <w:jc w:val="both"/>
        <w:rPr>
          <w:sz w:val="2"/>
          <w:szCs w:val="2"/>
        </w:rPr>
      </w:pPr>
    </w:p>
    <w:p w:rsidR="00D944E1" w:rsidRPr="001B434B" w:rsidRDefault="00FC4A9E" w:rsidP="00452C70">
      <w:pPr>
        <w:pStyle w:val="Titre"/>
        <w:rPr>
          <w:sz w:val="36"/>
          <w:szCs w:val="36"/>
        </w:rPr>
      </w:pPr>
      <w:r w:rsidRPr="001B434B">
        <w:rPr>
          <w:sz w:val="36"/>
          <w:szCs w:val="36"/>
        </w:rPr>
        <w:t xml:space="preserve">3 </w:t>
      </w:r>
      <w:r w:rsidR="00407D8A" w:rsidRPr="001B434B">
        <w:rPr>
          <w:sz w:val="36"/>
          <w:szCs w:val="36"/>
        </w:rPr>
        <w:t>Evolution  2003-201</w:t>
      </w:r>
      <w:r w:rsidR="00AF06E1" w:rsidRPr="001B434B">
        <w:rPr>
          <w:sz w:val="36"/>
          <w:szCs w:val="36"/>
        </w:rPr>
        <w:t>2 des finances communales bruxelloises</w:t>
      </w:r>
    </w:p>
    <w:p w:rsidR="00AF06E1" w:rsidRPr="00AF06E1" w:rsidRDefault="00AF06E1" w:rsidP="00AF06E1">
      <w:pPr>
        <w:spacing w:line="240" w:lineRule="auto"/>
        <w:jc w:val="both"/>
      </w:pPr>
      <w:r w:rsidRPr="00AF06E1">
        <w:t>L’évolution des ressources financières des communes bruxelloises doit</w:t>
      </w:r>
      <w:r>
        <w:t xml:space="preserve">, compte tenu des faits développés ci-avant, </w:t>
      </w:r>
      <w:r w:rsidRPr="00AF06E1">
        <w:t xml:space="preserve"> être abordée à la lumière d’un double constat : d’une part, une forte croissance de la population nécessitant des dépenses toujours plus élevés (enseignement, CPAS, police…) ; d’autre part, une capacité contributive de la population bruxelloise en décroissance depuis de nombreuses années suite à l’exode des classes moyennes remplacées par de nouveaux habitants nettement moins aisés ne pouvant compenser par les recettes fiscales qu’ils génèrent les coûts qu’ils induisent.</w:t>
      </w:r>
    </w:p>
    <w:p w:rsidR="00752C62" w:rsidRDefault="00EF14AC" w:rsidP="004107CC">
      <w:pPr>
        <w:spacing w:line="240" w:lineRule="auto"/>
        <w:jc w:val="both"/>
      </w:pPr>
      <w:r>
        <w:t>En effet, l’exode des classes moyennes se poursuit aujourd’hui, même si cela est à un rythme moins élevé que ces dernières années, au profit notammen</w:t>
      </w:r>
      <w:r w:rsidR="00072F8F">
        <w:t>t des Brabant wallon et flamand, comme le démontre l’analyse de l’évolution des revenus dans et autour de Bruxelles.</w:t>
      </w:r>
    </w:p>
    <w:tbl>
      <w:tblPr>
        <w:tblStyle w:val="Grilledutableau"/>
        <w:tblW w:w="0" w:type="auto"/>
        <w:tblLook w:val="04A0"/>
      </w:tblPr>
      <w:tblGrid>
        <w:gridCol w:w="2303"/>
        <w:gridCol w:w="2303"/>
        <w:gridCol w:w="2303"/>
        <w:gridCol w:w="2303"/>
      </w:tblGrid>
      <w:tr w:rsidR="009D0058" w:rsidTr="009D0058">
        <w:tc>
          <w:tcPr>
            <w:tcW w:w="2303" w:type="dxa"/>
          </w:tcPr>
          <w:p w:rsidR="009D0058" w:rsidRDefault="009D0058" w:rsidP="00F31D24">
            <w:pPr>
              <w:jc w:val="both"/>
            </w:pPr>
          </w:p>
        </w:tc>
        <w:tc>
          <w:tcPr>
            <w:tcW w:w="4606" w:type="dxa"/>
            <w:gridSpan w:val="2"/>
          </w:tcPr>
          <w:p w:rsidR="009D0058" w:rsidRPr="009D0058" w:rsidRDefault="009D0058" w:rsidP="009D0058">
            <w:pPr>
              <w:jc w:val="center"/>
              <w:rPr>
                <w:b/>
              </w:rPr>
            </w:pPr>
            <w:r w:rsidRPr="009D0058">
              <w:rPr>
                <w:b/>
              </w:rPr>
              <w:t>Revenu imposable par habitant</w:t>
            </w:r>
          </w:p>
        </w:tc>
        <w:tc>
          <w:tcPr>
            <w:tcW w:w="2303" w:type="dxa"/>
          </w:tcPr>
          <w:p w:rsidR="009D0058" w:rsidRDefault="009D0058" w:rsidP="00F31D24">
            <w:pPr>
              <w:jc w:val="both"/>
            </w:pPr>
          </w:p>
        </w:tc>
      </w:tr>
      <w:tr w:rsidR="009D0058" w:rsidTr="009D0058">
        <w:tc>
          <w:tcPr>
            <w:tcW w:w="2303" w:type="dxa"/>
          </w:tcPr>
          <w:p w:rsidR="009D0058" w:rsidRDefault="009D0058" w:rsidP="00F31D24">
            <w:pPr>
              <w:jc w:val="both"/>
            </w:pPr>
            <w:r>
              <w:t>Année du revenu</w:t>
            </w:r>
          </w:p>
        </w:tc>
        <w:tc>
          <w:tcPr>
            <w:tcW w:w="2303" w:type="dxa"/>
          </w:tcPr>
          <w:p w:rsidR="009D0058" w:rsidRPr="009D0058" w:rsidRDefault="009D0058" w:rsidP="009D0058">
            <w:pPr>
              <w:jc w:val="center"/>
              <w:rPr>
                <w:b/>
              </w:rPr>
            </w:pPr>
            <w:r w:rsidRPr="009D0058">
              <w:rPr>
                <w:b/>
              </w:rPr>
              <w:t>1994</w:t>
            </w:r>
          </w:p>
        </w:tc>
        <w:tc>
          <w:tcPr>
            <w:tcW w:w="2303" w:type="dxa"/>
          </w:tcPr>
          <w:p w:rsidR="009D0058" w:rsidRPr="009D0058" w:rsidRDefault="009D0058" w:rsidP="009D0058">
            <w:pPr>
              <w:jc w:val="center"/>
              <w:rPr>
                <w:b/>
              </w:rPr>
            </w:pPr>
            <w:r w:rsidRPr="009D0058">
              <w:rPr>
                <w:b/>
              </w:rPr>
              <w:t>2010</w:t>
            </w:r>
          </w:p>
        </w:tc>
        <w:tc>
          <w:tcPr>
            <w:tcW w:w="2303" w:type="dxa"/>
          </w:tcPr>
          <w:p w:rsidR="009D0058" w:rsidRPr="009D0058" w:rsidRDefault="009D0058" w:rsidP="009D0058">
            <w:pPr>
              <w:jc w:val="center"/>
              <w:rPr>
                <w:b/>
              </w:rPr>
            </w:pPr>
            <w:r w:rsidRPr="009D0058">
              <w:rPr>
                <w:b/>
              </w:rPr>
              <w:t>2010/1994</w:t>
            </w:r>
          </w:p>
        </w:tc>
      </w:tr>
      <w:tr w:rsidR="009D0058" w:rsidTr="009D0058">
        <w:tc>
          <w:tcPr>
            <w:tcW w:w="2303" w:type="dxa"/>
          </w:tcPr>
          <w:p w:rsidR="009D0058" w:rsidRDefault="009D0058" w:rsidP="00F31D24">
            <w:pPr>
              <w:jc w:val="both"/>
            </w:pPr>
          </w:p>
        </w:tc>
        <w:tc>
          <w:tcPr>
            <w:tcW w:w="4606" w:type="dxa"/>
            <w:gridSpan w:val="2"/>
          </w:tcPr>
          <w:p w:rsidR="009D0058" w:rsidRPr="009D0058" w:rsidRDefault="009D0058" w:rsidP="009D0058">
            <w:pPr>
              <w:jc w:val="center"/>
              <w:rPr>
                <w:b/>
              </w:rPr>
            </w:pPr>
            <w:r w:rsidRPr="009D0058">
              <w:rPr>
                <w:b/>
              </w:rPr>
              <w:t>€</w:t>
            </w:r>
          </w:p>
        </w:tc>
        <w:tc>
          <w:tcPr>
            <w:tcW w:w="2303" w:type="dxa"/>
          </w:tcPr>
          <w:p w:rsidR="009D0058" w:rsidRDefault="009D0058" w:rsidP="009D0058">
            <w:pPr>
              <w:jc w:val="center"/>
            </w:pPr>
            <w:r>
              <w:t>Progression</w:t>
            </w:r>
          </w:p>
        </w:tc>
      </w:tr>
      <w:tr w:rsidR="009D0058" w:rsidTr="009D0058">
        <w:tc>
          <w:tcPr>
            <w:tcW w:w="2303" w:type="dxa"/>
          </w:tcPr>
          <w:p w:rsidR="009D0058" w:rsidRPr="009D0058" w:rsidRDefault="009D0058" w:rsidP="009D0058">
            <w:pPr>
              <w:rPr>
                <w:b/>
              </w:rPr>
            </w:pPr>
            <w:r w:rsidRPr="009D0058">
              <w:rPr>
                <w:b/>
              </w:rPr>
              <w:t>RBC</w:t>
            </w:r>
          </w:p>
        </w:tc>
        <w:tc>
          <w:tcPr>
            <w:tcW w:w="2303" w:type="dxa"/>
          </w:tcPr>
          <w:p w:rsidR="009D0058" w:rsidRPr="009D0058" w:rsidRDefault="009D0058" w:rsidP="009D0058">
            <w:pPr>
              <w:jc w:val="center"/>
            </w:pPr>
            <w:r w:rsidRPr="009D0058">
              <w:t>8</w:t>
            </w:r>
            <w:r>
              <w:t>.</w:t>
            </w:r>
            <w:r w:rsidRPr="009D0058">
              <w:t>404</w:t>
            </w:r>
          </w:p>
        </w:tc>
        <w:tc>
          <w:tcPr>
            <w:tcW w:w="2303" w:type="dxa"/>
          </w:tcPr>
          <w:p w:rsidR="009D0058" w:rsidRPr="009D0058" w:rsidRDefault="009D0058" w:rsidP="009D0058">
            <w:pPr>
              <w:jc w:val="center"/>
            </w:pPr>
            <w:r w:rsidRPr="009D0058">
              <w:t>12</w:t>
            </w:r>
            <w:r>
              <w:t>.</w:t>
            </w:r>
            <w:r w:rsidRPr="009D0058">
              <w:t>593</w:t>
            </w:r>
          </w:p>
        </w:tc>
        <w:tc>
          <w:tcPr>
            <w:tcW w:w="2303" w:type="dxa"/>
          </w:tcPr>
          <w:p w:rsidR="009D0058" w:rsidRDefault="009D0058" w:rsidP="009D0058">
            <w:pPr>
              <w:jc w:val="center"/>
            </w:pPr>
            <w:r>
              <w:t>49.85 %</w:t>
            </w:r>
          </w:p>
        </w:tc>
      </w:tr>
      <w:tr w:rsidR="009D0058" w:rsidTr="009D0058">
        <w:tc>
          <w:tcPr>
            <w:tcW w:w="2303" w:type="dxa"/>
          </w:tcPr>
          <w:p w:rsidR="009D0058" w:rsidRPr="009D0058" w:rsidRDefault="009D0058" w:rsidP="009D0058">
            <w:pPr>
              <w:rPr>
                <w:b/>
              </w:rPr>
            </w:pPr>
            <w:r w:rsidRPr="009D0058">
              <w:rPr>
                <w:b/>
              </w:rPr>
              <w:t>Brabant wallon</w:t>
            </w:r>
          </w:p>
        </w:tc>
        <w:tc>
          <w:tcPr>
            <w:tcW w:w="2303" w:type="dxa"/>
          </w:tcPr>
          <w:p w:rsidR="009D0058" w:rsidRPr="009D0058" w:rsidRDefault="009D0058" w:rsidP="009D0058">
            <w:pPr>
              <w:jc w:val="center"/>
            </w:pPr>
            <w:r w:rsidRPr="009D0058">
              <w:t>10</w:t>
            </w:r>
            <w:r>
              <w:t>.</w:t>
            </w:r>
            <w:r w:rsidRPr="009D0058">
              <w:t>307</w:t>
            </w:r>
          </w:p>
        </w:tc>
        <w:tc>
          <w:tcPr>
            <w:tcW w:w="2303" w:type="dxa"/>
          </w:tcPr>
          <w:p w:rsidR="009D0058" w:rsidRPr="009D0058" w:rsidRDefault="009D0058" w:rsidP="009D0058">
            <w:pPr>
              <w:jc w:val="center"/>
            </w:pPr>
            <w:r w:rsidRPr="009D0058">
              <w:t>17</w:t>
            </w:r>
            <w:r>
              <w:t>.</w:t>
            </w:r>
            <w:r w:rsidRPr="009D0058">
              <w:t>781</w:t>
            </w:r>
          </w:p>
        </w:tc>
        <w:tc>
          <w:tcPr>
            <w:tcW w:w="2303" w:type="dxa"/>
          </w:tcPr>
          <w:p w:rsidR="009D0058" w:rsidRDefault="009D0058" w:rsidP="009D0058">
            <w:pPr>
              <w:jc w:val="center"/>
            </w:pPr>
            <w:r>
              <w:t>72.51 %</w:t>
            </w:r>
          </w:p>
        </w:tc>
      </w:tr>
      <w:tr w:rsidR="009D0058" w:rsidTr="009D0058">
        <w:tc>
          <w:tcPr>
            <w:tcW w:w="2303" w:type="dxa"/>
          </w:tcPr>
          <w:p w:rsidR="009D0058" w:rsidRPr="009D0058" w:rsidRDefault="009D0058" w:rsidP="009D0058">
            <w:pPr>
              <w:rPr>
                <w:b/>
              </w:rPr>
            </w:pPr>
            <w:r w:rsidRPr="009D0058">
              <w:rPr>
                <w:b/>
              </w:rPr>
              <w:t>Brabant flamand</w:t>
            </w:r>
          </w:p>
        </w:tc>
        <w:tc>
          <w:tcPr>
            <w:tcW w:w="2303" w:type="dxa"/>
          </w:tcPr>
          <w:p w:rsidR="009D0058" w:rsidRPr="009D0058" w:rsidRDefault="009D0058" w:rsidP="009D0058">
            <w:pPr>
              <w:jc w:val="center"/>
            </w:pPr>
            <w:r>
              <w:t>10.</w:t>
            </w:r>
            <w:r w:rsidRPr="009D0058">
              <w:t>749</w:t>
            </w:r>
          </w:p>
        </w:tc>
        <w:tc>
          <w:tcPr>
            <w:tcW w:w="2303" w:type="dxa"/>
          </w:tcPr>
          <w:p w:rsidR="009D0058" w:rsidRPr="009D0058" w:rsidRDefault="009D0058" w:rsidP="009D0058">
            <w:pPr>
              <w:jc w:val="center"/>
            </w:pPr>
            <w:r w:rsidRPr="009D0058">
              <w:t>18</w:t>
            </w:r>
            <w:r>
              <w:t>.</w:t>
            </w:r>
            <w:r w:rsidRPr="009D0058">
              <w:t>312</w:t>
            </w:r>
          </w:p>
        </w:tc>
        <w:tc>
          <w:tcPr>
            <w:tcW w:w="2303" w:type="dxa"/>
          </w:tcPr>
          <w:p w:rsidR="009D0058" w:rsidRDefault="00CD4410" w:rsidP="009D0058">
            <w:pPr>
              <w:jc w:val="center"/>
            </w:pPr>
            <w:r>
              <w:t>70.36 %</w:t>
            </w:r>
          </w:p>
        </w:tc>
      </w:tr>
      <w:tr w:rsidR="009D0058" w:rsidTr="009D0058">
        <w:tc>
          <w:tcPr>
            <w:tcW w:w="2303" w:type="dxa"/>
          </w:tcPr>
          <w:p w:rsidR="009D0058" w:rsidRPr="009D0058" w:rsidRDefault="009D0058" w:rsidP="009D0058">
            <w:pPr>
              <w:rPr>
                <w:b/>
              </w:rPr>
            </w:pPr>
          </w:p>
        </w:tc>
        <w:tc>
          <w:tcPr>
            <w:tcW w:w="2303" w:type="dxa"/>
          </w:tcPr>
          <w:p w:rsidR="009D0058" w:rsidRPr="009D0058" w:rsidRDefault="009D0058" w:rsidP="009D0058">
            <w:pPr>
              <w:jc w:val="center"/>
            </w:pPr>
          </w:p>
        </w:tc>
        <w:tc>
          <w:tcPr>
            <w:tcW w:w="2303" w:type="dxa"/>
          </w:tcPr>
          <w:p w:rsidR="009D0058" w:rsidRPr="009D0058" w:rsidRDefault="009D0058" w:rsidP="009D0058">
            <w:pPr>
              <w:jc w:val="center"/>
            </w:pPr>
          </w:p>
        </w:tc>
        <w:tc>
          <w:tcPr>
            <w:tcW w:w="2303" w:type="dxa"/>
          </w:tcPr>
          <w:p w:rsidR="009D0058" w:rsidRDefault="009D0058" w:rsidP="009D0058">
            <w:pPr>
              <w:jc w:val="center"/>
            </w:pPr>
          </w:p>
        </w:tc>
      </w:tr>
      <w:tr w:rsidR="009D0058" w:rsidTr="009D0058">
        <w:tc>
          <w:tcPr>
            <w:tcW w:w="2303" w:type="dxa"/>
          </w:tcPr>
          <w:p w:rsidR="009D0058" w:rsidRPr="009D0058" w:rsidRDefault="009D0058" w:rsidP="009D0058">
            <w:pPr>
              <w:rPr>
                <w:b/>
              </w:rPr>
            </w:pPr>
            <w:r w:rsidRPr="009D0058">
              <w:rPr>
                <w:b/>
              </w:rPr>
              <w:t>Pays</w:t>
            </w:r>
          </w:p>
        </w:tc>
        <w:tc>
          <w:tcPr>
            <w:tcW w:w="2303" w:type="dxa"/>
          </w:tcPr>
          <w:p w:rsidR="009D0058" w:rsidRPr="009D0058" w:rsidRDefault="009D0058" w:rsidP="009D0058">
            <w:pPr>
              <w:jc w:val="center"/>
              <w:rPr>
                <w:b/>
              </w:rPr>
            </w:pPr>
            <w:r w:rsidRPr="009D0058">
              <w:rPr>
                <w:b/>
              </w:rPr>
              <w:t>8.845</w:t>
            </w:r>
          </w:p>
        </w:tc>
        <w:tc>
          <w:tcPr>
            <w:tcW w:w="2303" w:type="dxa"/>
          </w:tcPr>
          <w:p w:rsidR="009D0058" w:rsidRPr="009D0058" w:rsidRDefault="009D0058" w:rsidP="009D0058">
            <w:pPr>
              <w:jc w:val="center"/>
              <w:rPr>
                <w:b/>
              </w:rPr>
            </w:pPr>
            <w:r w:rsidRPr="009D0058">
              <w:rPr>
                <w:b/>
              </w:rPr>
              <w:t>15.598</w:t>
            </w:r>
          </w:p>
        </w:tc>
        <w:tc>
          <w:tcPr>
            <w:tcW w:w="2303" w:type="dxa"/>
          </w:tcPr>
          <w:p w:rsidR="009D0058" w:rsidRPr="009D0058" w:rsidRDefault="00CD4410" w:rsidP="009D0058">
            <w:pPr>
              <w:jc w:val="center"/>
              <w:rPr>
                <w:b/>
              </w:rPr>
            </w:pPr>
            <w:r>
              <w:rPr>
                <w:b/>
              </w:rPr>
              <w:t>73.35 %</w:t>
            </w:r>
          </w:p>
        </w:tc>
      </w:tr>
    </w:tbl>
    <w:p w:rsidR="002660A6" w:rsidRDefault="002660A6" w:rsidP="002660A6">
      <w:pPr>
        <w:spacing w:line="240" w:lineRule="auto"/>
        <w:jc w:val="both"/>
        <w:rPr>
          <w:u w:val="single"/>
        </w:rPr>
      </w:pPr>
      <w:r w:rsidRPr="002660A6">
        <w:rPr>
          <w:u w:val="single"/>
        </w:rPr>
        <w:t>Le cruel manque de moyens financiers des communes bruxelloises</w:t>
      </w:r>
    </w:p>
    <w:p w:rsidR="002660A6" w:rsidRDefault="001B358A" w:rsidP="001B358A">
      <w:pPr>
        <w:spacing w:line="240" w:lineRule="auto"/>
        <w:jc w:val="both"/>
      </w:pPr>
      <w:r>
        <w:lastRenderedPageBreak/>
        <w:t>L’évolution des finances des communes bruxelloises entre 2003 et 2012, sur base des budgets, montrent l’impact sur celles-ci des profondes mutations socio-démographiques qu’a subies la région de Bruxelles-Capitale durant cette même période.</w:t>
      </w:r>
    </w:p>
    <w:p w:rsidR="00452C70" w:rsidRDefault="00452C70" w:rsidP="001B358A">
      <w:pPr>
        <w:spacing w:line="240" w:lineRule="auto"/>
        <w:jc w:val="both"/>
      </w:pPr>
    </w:p>
    <w:p w:rsidR="00B67BFE" w:rsidRPr="002660A6" w:rsidRDefault="00B67BFE" w:rsidP="00B67BFE">
      <w:pPr>
        <w:spacing w:line="240" w:lineRule="auto"/>
        <w:jc w:val="center"/>
        <w:rPr>
          <w:u w:val="single"/>
        </w:rPr>
      </w:pPr>
      <w:r>
        <w:rPr>
          <w:u w:val="single"/>
        </w:rPr>
        <w:t>Recettes totales à l’exercice propre par habitant</w:t>
      </w:r>
    </w:p>
    <w:tbl>
      <w:tblPr>
        <w:tblW w:w="5660" w:type="dxa"/>
        <w:jc w:val="center"/>
        <w:tblInd w:w="55" w:type="dxa"/>
        <w:tblCellMar>
          <w:left w:w="70" w:type="dxa"/>
          <w:right w:w="70" w:type="dxa"/>
        </w:tblCellMar>
        <w:tblLook w:val="04A0"/>
      </w:tblPr>
      <w:tblGrid>
        <w:gridCol w:w="1540"/>
        <w:gridCol w:w="1580"/>
        <w:gridCol w:w="1200"/>
        <w:gridCol w:w="1340"/>
      </w:tblGrid>
      <w:tr w:rsidR="002660A6" w:rsidRPr="002660A6" w:rsidTr="002660A6">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t>€</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center"/>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4GV</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center"/>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19 C</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center"/>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Dif/H</w:t>
            </w:r>
          </w:p>
        </w:tc>
      </w:tr>
      <w:tr w:rsidR="002660A6" w:rsidRPr="002660A6" w:rsidTr="002660A6">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center"/>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2003</w:t>
            </w:r>
          </w:p>
        </w:tc>
        <w:tc>
          <w:tcPr>
            <w:tcW w:w="158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sz w:val="20"/>
                <w:szCs w:val="20"/>
                <w:lang w:eastAsia="fr-BE"/>
              </w:rPr>
            </w:pPr>
            <w:r w:rsidRPr="002660A6">
              <w:rPr>
                <w:rFonts w:ascii="Arial" w:eastAsia="Times New Roman" w:hAnsi="Arial" w:cs="Arial"/>
                <w:sz w:val="20"/>
                <w:szCs w:val="20"/>
                <w:lang w:eastAsia="fr-BE"/>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sz w:val="20"/>
                <w:szCs w:val="20"/>
                <w:lang w:eastAsia="fr-BE"/>
              </w:rPr>
            </w:pPr>
            <w:r w:rsidRPr="002660A6">
              <w:rPr>
                <w:rFonts w:ascii="Arial" w:eastAsia="Times New Roman" w:hAnsi="Arial" w:cs="Arial"/>
                <w:sz w:val="20"/>
                <w:szCs w:val="20"/>
                <w:lang w:eastAsia="fr-BE"/>
              </w:rPr>
              <w:t>1468</w:t>
            </w:r>
          </w:p>
        </w:tc>
        <w:tc>
          <w:tcPr>
            <w:tcW w:w="134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547</w:t>
            </w:r>
          </w:p>
        </w:tc>
      </w:tr>
      <w:tr w:rsidR="002660A6" w:rsidRPr="002660A6" w:rsidTr="002660A6">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center"/>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2012</w:t>
            </w:r>
          </w:p>
        </w:tc>
        <w:tc>
          <w:tcPr>
            <w:tcW w:w="158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sz w:val="20"/>
                <w:szCs w:val="20"/>
                <w:lang w:eastAsia="fr-BE"/>
              </w:rPr>
            </w:pPr>
            <w:r w:rsidRPr="002660A6">
              <w:rPr>
                <w:rFonts w:ascii="Arial" w:eastAsia="Times New Roman" w:hAnsi="Arial" w:cs="Arial"/>
                <w:sz w:val="20"/>
                <w:szCs w:val="20"/>
                <w:lang w:eastAsia="fr-BE"/>
              </w:rPr>
              <w:t>2343</w:t>
            </w:r>
          </w:p>
        </w:tc>
        <w:tc>
          <w:tcPr>
            <w:tcW w:w="120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sz w:val="20"/>
                <w:szCs w:val="20"/>
                <w:lang w:eastAsia="fr-BE"/>
              </w:rPr>
            </w:pPr>
            <w:r w:rsidRPr="002660A6">
              <w:rPr>
                <w:rFonts w:ascii="Arial" w:eastAsia="Times New Roman" w:hAnsi="Arial" w:cs="Arial"/>
                <w:sz w:val="20"/>
                <w:szCs w:val="20"/>
                <w:lang w:eastAsia="fr-BE"/>
              </w:rPr>
              <w:t>1698</w:t>
            </w:r>
          </w:p>
        </w:tc>
        <w:tc>
          <w:tcPr>
            <w:tcW w:w="134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645</w:t>
            </w:r>
          </w:p>
        </w:tc>
      </w:tr>
      <w:tr w:rsidR="002660A6" w:rsidRPr="002660A6" w:rsidTr="002660A6">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center"/>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2012-2003</w:t>
            </w:r>
          </w:p>
        </w:tc>
        <w:tc>
          <w:tcPr>
            <w:tcW w:w="158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328</w:t>
            </w:r>
          </w:p>
        </w:tc>
        <w:tc>
          <w:tcPr>
            <w:tcW w:w="120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jc w:val="right"/>
              <w:rPr>
                <w:rFonts w:ascii="Arial" w:eastAsia="Times New Roman" w:hAnsi="Arial" w:cs="Arial"/>
                <w:b/>
                <w:bCs/>
                <w:sz w:val="20"/>
                <w:szCs w:val="20"/>
                <w:lang w:eastAsia="fr-BE"/>
              </w:rPr>
            </w:pPr>
            <w:r w:rsidRPr="002660A6">
              <w:rPr>
                <w:rFonts w:ascii="Arial" w:eastAsia="Times New Roman" w:hAnsi="Arial" w:cs="Arial"/>
                <w:b/>
                <w:bCs/>
                <w:sz w:val="20"/>
                <w:szCs w:val="20"/>
                <w:lang w:eastAsia="fr-BE"/>
              </w:rPr>
              <w:t>230</w:t>
            </w:r>
          </w:p>
        </w:tc>
        <w:tc>
          <w:tcPr>
            <w:tcW w:w="1340" w:type="dxa"/>
            <w:tcBorders>
              <w:top w:val="nil"/>
              <w:left w:val="nil"/>
              <w:bottom w:val="single" w:sz="4" w:space="0" w:color="auto"/>
              <w:right w:val="single" w:sz="4" w:space="0" w:color="auto"/>
            </w:tcBorders>
            <w:shd w:val="clear" w:color="auto" w:fill="auto"/>
            <w:noWrap/>
            <w:vAlign w:val="bottom"/>
            <w:hideMark/>
          </w:tcPr>
          <w:p w:rsidR="002660A6" w:rsidRPr="002660A6" w:rsidRDefault="002660A6" w:rsidP="002660A6">
            <w:pPr>
              <w:spacing w:after="0" w:line="240" w:lineRule="auto"/>
              <w:rPr>
                <w:rFonts w:ascii="Arial" w:eastAsia="Times New Roman" w:hAnsi="Arial" w:cs="Arial"/>
                <w:sz w:val="20"/>
                <w:szCs w:val="20"/>
                <w:lang w:eastAsia="fr-BE"/>
              </w:rPr>
            </w:pPr>
            <w:r w:rsidRPr="002660A6">
              <w:rPr>
                <w:rFonts w:ascii="Arial" w:eastAsia="Times New Roman" w:hAnsi="Arial" w:cs="Arial"/>
                <w:sz w:val="20"/>
                <w:szCs w:val="20"/>
                <w:lang w:eastAsia="fr-BE"/>
              </w:rPr>
              <w:t> </w:t>
            </w:r>
          </w:p>
        </w:tc>
      </w:tr>
    </w:tbl>
    <w:p w:rsidR="002660A6" w:rsidRDefault="002660A6" w:rsidP="00F31D24">
      <w:pPr>
        <w:jc w:val="both"/>
      </w:pPr>
    </w:p>
    <w:p w:rsidR="002660A6" w:rsidRDefault="00FE4921" w:rsidP="008234B3">
      <w:pPr>
        <w:spacing w:line="240" w:lineRule="auto"/>
        <w:jc w:val="both"/>
        <w:rPr>
          <w:bCs/>
        </w:rPr>
      </w:pPr>
      <w:r>
        <w:t xml:space="preserve">Pour disposer en 2012 </w:t>
      </w:r>
      <w:r w:rsidR="002660A6">
        <w:t xml:space="preserve">de recettes financières par habitant comparables aux quatre autres grandes villes du pays, les communes bruxelloises auraient dû disposer de 645 €  x  </w:t>
      </w:r>
      <w:r w:rsidR="002660A6" w:rsidRPr="002660A6">
        <w:rPr>
          <w:bCs/>
        </w:rPr>
        <w:t xml:space="preserve">1.138.854 </w:t>
      </w:r>
      <w:r w:rsidR="002660A6">
        <w:rPr>
          <w:bCs/>
        </w:rPr>
        <w:t xml:space="preserve">H soit  </w:t>
      </w:r>
      <w:r w:rsidR="002660A6" w:rsidRPr="002660A6">
        <w:rPr>
          <w:bCs/>
        </w:rPr>
        <w:t>734.560.830</w:t>
      </w:r>
      <w:r w:rsidR="002660A6">
        <w:rPr>
          <w:bCs/>
        </w:rPr>
        <w:t xml:space="preserve"> €.</w:t>
      </w:r>
    </w:p>
    <w:p w:rsidR="008234B3" w:rsidRDefault="002660A6" w:rsidP="008234B3">
      <w:pPr>
        <w:spacing w:line="240" w:lineRule="auto"/>
        <w:jc w:val="both"/>
        <w:rPr>
          <w:bCs/>
        </w:rPr>
      </w:pPr>
      <w:r>
        <w:rPr>
          <w:bCs/>
        </w:rPr>
        <w:t xml:space="preserve">Il apparaît paradoxal </w:t>
      </w:r>
      <w:r w:rsidR="008234B3">
        <w:rPr>
          <w:bCs/>
        </w:rPr>
        <w:t>qu</w:t>
      </w:r>
      <w:r w:rsidR="00CD4410">
        <w:rPr>
          <w:bCs/>
        </w:rPr>
        <w:t xml:space="preserve">e Bruxelles, </w:t>
      </w:r>
      <w:r w:rsidR="008234B3">
        <w:rPr>
          <w:bCs/>
        </w:rPr>
        <w:t>capitale nationale</w:t>
      </w:r>
      <w:r w:rsidR="00CD4410">
        <w:rPr>
          <w:bCs/>
        </w:rPr>
        <w:t xml:space="preserve"> et </w:t>
      </w:r>
      <w:r w:rsidR="008234B3">
        <w:rPr>
          <w:bCs/>
        </w:rPr>
        <w:t>européenne</w:t>
      </w:r>
      <w:r w:rsidR="00CD4410">
        <w:rPr>
          <w:bCs/>
        </w:rPr>
        <w:t xml:space="preserve">, </w:t>
      </w:r>
      <w:r w:rsidR="008234B3">
        <w:rPr>
          <w:bCs/>
        </w:rPr>
        <w:t>soit moins bien financée qu</w:t>
      </w:r>
      <w:r w:rsidR="00CD4410">
        <w:rPr>
          <w:bCs/>
        </w:rPr>
        <w:t xml:space="preserve">’Anvers, Gand, Liège ou Charleroi. </w:t>
      </w:r>
    </w:p>
    <w:p w:rsidR="00452C70" w:rsidRDefault="00452C70" w:rsidP="008234B3">
      <w:pPr>
        <w:spacing w:line="240" w:lineRule="auto"/>
        <w:jc w:val="both"/>
        <w:rPr>
          <w:bCs/>
        </w:rPr>
      </w:pPr>
    </w:p>
    <w:p w:rsidR="008234B3" w:rsidRDefault="008234B3" w:rsidP="008234B3">
      <w:pPr>
        <w:spacing w:line="240" w:lineRule="auto"/>
        <w:jc w:val="both"/>
        <w:rPr>
          <w:bCs/>
          <w:u w:val="single"/>
        </w:rPr>
      </w:pPr>
      <w:r w:rsidRPr="008234B3">
        <w:rPr>
          <w:bCs/>
          <w:u w:val="single"/>
        </w:rPr>
        <w:t>La nature des recettes.</w:t>
      </w:r>
    </w:p>
    <w:tbl>
      <w:tblPr>
        <w:tblW w:w="8040" w:type="dxa"/>
        <w:tblInd w:w="55" w:type="dxa"/>
        <w:tblCellMar>
          <w:left w:w="70" w:type="dxa"/>
          <w:right w:w="70" w:type="dxa"/>
        </w:tblCellMar>
        <w:tblLook w:val="04A0"/>
      </w:tblPr>
      <w:tblGrid>
        <w:gridCol w:w="2680"/>
        <w:gridCol w:w="1340"/>
        <w:gridCol w:w="1340"/>
        <w:gridCol w:w="1340"/>
        <w:gridCol w:w="1340"/>
      </w:tblGrid>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 xml:space="preserve">ANNEE </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center"/>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2003</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center"/>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2012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center"/>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2003</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center"/>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2012</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b/>
                <w:bCs/>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 xml:space="preserve">NOM </w:t>
            </w:r>
          </w:p>
        </w:tc>
        <w:tc>
          <w:tcPr>
            <w:tcW w:w="2680" w:type="dxa"/>
            <w:gridSpan w:val="2"/>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center"/>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 xml:space="preserve">BRUXELLES (19 Com.)       </w:t>
            </w:r>
          </w:p>
        </w:tc>
        <w:tc>
          <w:tcPr>
            <w:tcW w:w="2680" w:type="dxa"/>
            <w:gridSpan w:val="2"/>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center"/>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4GV</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 xml:space="preserve">POP </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992.041</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1.138.854</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1.065.253</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1.139.182</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RECETTES</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Prestat°</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5,16%</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7,17%</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3,74%</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4,92%</w:t>
            </w:r>
          </w:p>
        </w:tc>
      </w:tr>
      <w:tr w:rsidR="003B3BF3" w:rsidRPr="003B3BF3" w:rsidTr="00A24A94">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Transferts</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87,56%</w:t>
            </w:r>
          </w:p>
        </w:tc>
        <w:tc>
          <w:tcPr>
            <w:tcW w:w="1340" w:type="dxa"/>
            <w:tcBorders>
              <w:top w:val="nil"/>
              <w:left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89,22%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87,50%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87,92%</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Fonds</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22,29%</w:t>
            </w:r>
          </w:p>
        </w:tc>
        <w:tc>
          <w:tcPr>
            <w:tcW w:w="1340" w:type="dxa"/>
            <w:tcBorders>
              <w:top w:val="nil"/>
              <w:left w:val="nil"/>
              <w:bottom w:val="nil"/>
              <w:right w:val="nil"/>
            </w:tcBorders>
            <w:shd w:val="clear" w:color="auto" w:fill="auto"/>
            <w:noWrap/>
            <w:vAlign w:val="bottom"/>
            <w:hideMark/>
          </w:tcPr>
          <w:p w:rsidR="003B3BF3" w:rsidRPr="00A24A94" w:rsidRDefault="003B3BF3" w:rsidP="003B3BF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20,56%</w:t>
            </w:r>
          </w:p>
        </w:tc>
        <w:tc>
          <w:tcPr>
            <w:tcW w:w="1340" w:type="dxa"/>
            <w:tcBorders>
              <w:top w:val="nil"/>
              <w:left w:val="nil"/>
              <w:bottom w:val="nil"/>
              <w:right w:val="nil"/>
            </w:tcBorders>
            <w:shd w:val="clear" w:color="auto" w:fill="auto"/>
            <w:noWrap/>
            <w:vAlign w:val="bottom"/>
            <w:hideMark/>
          </w:tcPr>
          <w:p w:rsidR="003B3BF3" w:rsidRPr="00A24A94" w:rsidRDefault="003B3BF3" w:rsidP="003B3BF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42,45%</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43,85%</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Fiscalité</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52,34%</w:t>
            </w:r>
          </w:p>
        </w:tc>
        <w:tc>
          <w:tcPr>
            <w:tcW w:w="1340" w:type="dxa"/>
            <w:tcBorders>
              <w:top w:val="nil"/>
              <w:left w:val="nil"/>
              <w:bottom w:val="nil"/>
              <w:right w:val="nil"/>
            </w:tcBorders>
            <w:shd w:val="clear" w:color="auto" w:fill="auto"/>
            <w:noWrap/>
            <w:vAlign w:val="bottom"/>
            <w:hideMark/>
          </w:tcPr>
          <w:p w:rsidR="003B3BF3" w:rsidRPr="00A24A94" w:rsidRDefault="003B3BF3" w:rsidP="003B3BF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53,04%</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32,51%</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31,94%</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Add IPP</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8,82%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10,92%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9,67%</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9,88%</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Add Préc immob</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30,92%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29,43%</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16,30%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15,72%</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Autres taxes add</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0,60%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0,59%</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0,45%</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0,49%</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Taxes locales</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12,00%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12,11%</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6,10%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5,85%</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Subsides</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12,92%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15,62%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12,53%</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12,13%</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Produits financiers (rec dette)</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7,12%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3,42%</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7,43%</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3,91%</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Dividendes Elec</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3,61%</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1,84%</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1,69%</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1,09%</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Dividendes Gaz</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0,85%</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0,66%</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1,43%</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0,91%</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r w:rsidRPr="003B3BF3">
              <w:rPr>
                <w:rFonts w:ascii="Arial" w:eastAsia="Times New Roman" w:hAnsi="Arial" w:cs="Arial"/>
                <w:sz w:val="20"/>
                <w:szCs w:val="20"/>
                <w:lang w:eastAsia="fr-BE"/>
              </w:rPr>
              <w:t>Prélèvements Fonct</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0,16%</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0,19%</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1,34%</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3,25%</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b/>
                <w:bCs/>
                <w:sz w:val="20"/>
                <w:szCs w:val="20"/>
                <w:lang w:eastAsia="fr-BE"/>
              </w:rPr>
            </w:pPr>
            <w:r w:rsidRPr="003B3BF3">
              <w:rPr>
                <w:rFonts w:ascii="Arial" w:eastAsia="Times New Roman" w:hAnsi="Arial" w:cs="Arial"/>
                <w:b/>
                <w:bCs/>
                <w:sz w:val="20"/>
                <w:szCs w:val="20"/>
                <w:lang w:eastAsia="fr-BE"/>
              </w:rPr>
              <w:t>Rec totales - ex propre</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100,00%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100,00%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100,00%</w:t>
            </w: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jc w:val="right"/>
              <w:rPr>
                <w:rFonts w:ascii="Arial" w:eastAsia="Times New Roman" w:hAnsi="Arial" w:cs="Arial"/>
                <w:sz w:val="20"/>
                <w:szCs w:val="20"/>
                <w:lang w:eastAsia="fr-BE"/>
              </w:rPr>
            </w:pPr>
            <w:r w:rsidRPr="003B3BF3">
              <w:rPr>
                <w:rFonts w:ascii="Arial" w:eastAsia="Times New Roman" w:hAnsi="Arial" w:cs="Arial"/>
                <w:sz w:val="20"/>
                <w:szCs w:val="20"/>
                <w:lang w:eastAsia="fr-BE"/>
              </w:rPr>
              <w:t>100,00%</w:t>
            </w:r>
          </w:p>
        </w:tc>
      </w:tr>
      <w:tr w:rsidR="003B3BF3" w:rsidRPr="003B3BF3" w:rsidTr="003B3BF3">
        <w:trPr>
          <w:trHeight w:val="255"/>
        </w:trPr>
        <w:tc>
          <w:tcPr>
            <w:tcW w:w="268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c>
          <w:tcPr>
            <w:tcW w:w="1340" w:type="dxa"/>
            <w:tcBorders>
              <w:top w:val="nil"/>
              <w:left w:val="nil"/>
              <w:bottom w:val="nil"/>
              <w:right w:val="nil"/>
            </w:tcBorders>
            <w:shd w:val="clear" w:color="auto" w:fill="auto"/>
            <w:noWrap/>
            <w:vAlign w:val="bottom"/>
            <w:hideMark/>
          </w:tcPr>
          <w:p w:rsidR="003B3BF3" w:rsidRPr="003B3BF3" w:rsidRDefault="003B3BF3" w:rsidP="003B3BF3">
            <w:pPr>
              <w:spacing w:after="0" w:line="240" w:lineRule="auto"/>
              <w:rPr>
                <w:rFonts w:ascii="Arial" w:eastAsia="Times New Roman" w:hAnsi="Arial" w:cs="Arial"/>
                <w:sz w:val="20"/>
                <w:szCs w:val="20"/>
                <w:lang w:eastAsia="fr-BE"/>
              </w:rPr>
            </w:pPr>
          </w:p>
        </w:tc>
      </w:tr>
    </w:tbl>
    <w:p w:rsidR="0085488F" w:rsidRDefault="0085488F" w:rsidP="008234B3">
      <w:pPr>
        <w:spacing w:line="240" w:lineRule="auto"/>
        <w:jc w:val="both"/>
        <w:rPr>
          <w:bCs/>
        </w:rPr>
      </w:pPr>
    </w:p>
    <w:p w:rsidR="0085488F" w:rsidRDefault="0085488F" w:rsidP="008234B3">
      <w:pPr>
        <w:spacing w:line="240" w:lineRule="auto"/>
        <w:jc w:val="both"/>
        <w:rPr>
          <w:bCs/>
        </w:rPr>
      </w:pPr>
    </w:p>
    <w:p w:rsidR="0085488F" w:rsidRDefault="0085488F" w:rsidP="008234B3">
      <w:pPr>
        <w:spacing w:line="240" w:lineRule="auto"/>
        <w:jc w:val="both"/>
        <w:rPr>
          <w:bCs/>
        </w:rPr>
      </w:pPr>
    </w:p>
    <w:p w:rsidR="0085488F" w:rsidRDefault="0085488F" w:rsidP="008234B3">
      <w:pPr>
        <w:spacing w:line="240" w:lineRule="auto"/>
        <w:jc w:val="both"/>
        <w:rPr>
          <w:bCs/>
        </w:rPr>
      </w:pPr>
    </w:p>
    <w:p w:rsidR="002660A6" w:rsidRDefault="001B7D6D" w:rsidP="008234B3">
      <w:pPr>
        <w:spacing w:line="240" w:lineRule="auto"/>
        <w:jc w:val="both"/>
        <w:rPr>
          <w:bCs/>
        </w:rPr>
      </w:pPr>
      <w:r>
        <w:rPr>
          <w:bCs/>
        </w:rPr>
        <w:lastRenderedPageBreak/>
        <w:t>L’analyse des sources de re</w:t>
      </w:r>
      <w:r w:rsidR="00AF0574">
        <w:rPr>
          <w:bCs/>
        </w:rPr>
        <w:t>c</w:t>
      </w:r>
      <w:r>
        <w:rPr>
          <w:bCs/>
        </w:rPr>
        <w:t xml:space="preserve">ettes comparative des communes bruxelloises et des quatre grandes villes  impose deux constats majeurs : </w:t>
      </w:r>
      <w:r w:rsidR="002C1F2C">
        <w:rPr>
          <w:bCs/>
        </w:rPr>
        <w:t xml:space="preserve">les communes bruxelloises reçoivent peu </w:t>
      </w:r>
      <w:r>
        <w:rPr>
          <w:bCs/>
        </w:rPr>
        <w:t>et impose</w:t>
      </w:r>
      <w:r w:rsidR="002C1F2C">
        <w:rPr>
          <w:bCs/>
        </w:rPr>
        <w:t>nt</w:t>
      </w:r>
      <w:r w:rsidR="002C1F2C" w:rsidRPr="002C1F2C">
        <w:rPr>
          <w:bCs/>
        </w:rPr>
        <w:t xml:space="preserve"> </w:t>
      </w:r>
      <w:r w:rsidR="002C1F2C">
        <w:rPr>
          <w:bCs/>
        </w:rPr>
        <w:t>donc</w:t>
      </w:r>
      <w:r>
        <w:rPr>
          <w:bCs/>
        </w:rPr>
        <w:t xml:space="preserve"> en conséquence </w:t>
      </w:r>
      <w:r w:rsidR="00CD4410">
        <w:rPr>
          <w:bCs/>
        </w:rPr>
        <w:t xml:space="preserve">leurs </w:t>
      </w:r>
      <w:r>
        <w:rPr>
          <w:bCs/>
        </w:rPr>
        <w:t>habitants</w:t>
      </w:r>
      <w:r w:rsidR="002C1F2C">
        <w:rPr>
          <w:bCs/>
        </w:rPr>
        <w:t xml:space="preserve"> et </w:t>
      </w:r>
      <w:r w:rsidR="00CD4410">
        <w:rPr>
          <w:bCs/>
        </w:rPr>
        <w:t>leurs</w:t>
      </w:r>
      <w:r w:rsidR="002C1F2C">
        <w:rPr>
          <w:bCs/>
        </w:rPr>
        <w:t xml:space="preserve"> entreprises</w:t>
      </w:r>
      <w:r>
        <w:rPr>
          <w:bCs/>
        </w:rPr>
        <w:t>.</w:t>
      </w:r>
    </w:p>
    <w:p w:rsidR="001B7D6D" w:rsidRDefault="001B7D6D" w:rsidP="00A41BEF">
      <w:pPr>
        <w:spacing w:line="240" w:lineRule="auto"/>
        <w:jc w:val="both"/>
        <w:rPr>
          <w:bCs/>
        </w:rPr>
      </w:pPr>
      <w:r>
        <w:rPr>
          <w:bCs/>
        </w:rPr>
        <w:t xml:space="preserve">Ainsi, en 2012, les recettes de fonds et les subsides ne représentent que 36.18 % des recettes propres </w:t>
      </w:r>
      <w:r w:rsidR="004C3D45">
        <w:rPr>
          <w:bCs/>
        </w:rPr>
        <w:t xml:space="preserve">bruxelloises </w:t>
      </w:r>
      <w:r>
        <w:rPr>
          <w:bCs/>
        </w:rPr>
        <w:t>contre 55.98 % pour les quatre grandes villes.</w:t>
      </w:r>
    </w:p>
    <w:p w:rsidR="001B7D6D" w:rsidRDefault="001B7D6D" w:rsidP="00A41BEF">
      <w:pPr>
        <w:spacing w:line="240" w:lineRule="auto"/>
        <w:jc w:val="both"/>
        <w:rPr>
          <w:bCs/>
        </w:rPr>
      </w:pPr>
      <w:r>
        <w:rPr>
          <w:bCs/>
        </w:rPr>
        <w:t>En conséquence, les communes bruxelloises vont chercher 5</w:t>
      </w:r>
      <w:r w:rsidR="00FE4921">
        <w:rPr>
          <w:bCs/>
        </w:rPr>
        <w:t>3</w:t>
      </w:r>
      <w:r>
        <w:rPr>
          <w:bCs/>
        </w:rPr>
        <w:t>.</w:t>
      </w:r>
      <w:r w:rsidR="00FE4921">
        <w:rPr>
          <w:bCs/>
        </w:rPr>
        <w:t>02</w:t>
      </w:r>
      <w:r>
        <w:rPr>
          <w:bCs/>
        </w:rPr>
        <w:t xml:space="preserve"> % de leurs recettes propres dans la fiscalité contre 31.94 % pour les 4 grandes villes. </w:t>
      </w:r>
    </w:p>
    <w:p w:rsidR="001B7D6D" w:rsidRPr="001B7D6D" w:rsidRDefault="001B7D6D" w:rsidP="00A41BEF">
      <w:pPr>
        <w:spacing w:line="240" w:lineRule="auto"/>
        <w:jc w:val="both"/>
        <w:rPr>
          <w:bCs/>
        </w:rPr>
      </w:pPr>
      <w:r>
        <w:rPr>
          <w:bCs/>
        </w:rPr>
        <w:t xml:space="preserve">Par habitant, en 2012, la fiscalité s’établissait à </w:t>
      </w:r>
      <w:r w:rsidR="00AF0574">
        <w:rPr>
          <w:bCs/>
        </w:rPr>
        <w:t>901 €/H pour les 19 communes et seulement 748 €/H pour les quatre grandes villes.</w:t>
      </w:r>
    </w:p>
    <w:p w:rsidR="002660A6" w:rsidRDefault="002660A6" w:rsidP="008234B3">
      <w:pPr>
        <w:spacing w:line="240" w:lineRule="auto"/>
        <w:jc w:val="both"/>
      </w:pPr>
    </w:p>
    <w:p w:rsidR="00AF06E1" w:rsidRDefault="00AF0574" w:rsidP="008234B3">
      <w:pPr>
        <w:spacing w:line="240" w:lineRule="auto"/>
        <w:jc w:val="both"/>
        <w:rPr>
          <w:u w:val="single"/>
        </w:rPr>
      </w:pPr>
      <w:r w:rsidRPr="00AF0574">
        <w:rPr>
          <w:u w:val="single"/>
        </w:rPr>
        <w:t>La nature des dépenses.</w:t>
      </w:r>
    </w:p>
    <w:tbl>
      <w:tblPr>
        <w:tblW w:w="8040" w:type="dxa"/>
        <w:tblInd w:w="55" w:type="dxa"/>
        <w:tblCellMar>
          <w:left w:w="70" w:type="dxa"/>
          <w:right w:w="70" w:type="dxa"/>
        </w:tblCellMar>
        <w:tblLook w:val="04A0"/>
      </w:tblPr>
      <w:tblGrid>
        <w:gridCol w:w="2680"/>
        <w:gridCol w:w="1340"/>
        <w:gridCol w:w="1340"/>
        <w:gridCol w:w="1340"/>
        <w:gridCol w:w="1340"/>
      </w:tblGrid>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p>
        </w:tc>
        <w:tc>
          <w:tcPr>
            <w:tcW w:w="2680" w:type="dxa"/>
            <w:gridSpan w:val="2"/>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 xml:space="preserve">BRUXELLES (19 Com.)       </w:t>
            </w:r>
          </w:p>
        </w:tc>
        <w:tc>
          <w:tcPr>
            <w:tcW w:w="2680" w:type="dxa"/>
            <w:gridSpan w:val="2"/>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center"/>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4GV</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DEPENSES</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center"/>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2003</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center"/>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2012</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center"/>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2003</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center"/>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2012</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Personnel</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43,97%</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41,55%</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39,12%</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37,73%</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Fonctionnement</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10,63%</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11,62%</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12,18%</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12,42%</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Transferts</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35,66%</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36,28%</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31,05%</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38,47%</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Dotat° ZP</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15,85%</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16,00%</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12,57%</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12,40%</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Dotat° CPAS</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11,48%</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14,16%</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7,98%</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8,22%</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Déficit Hop</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1,63%</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0,70%</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0,00%</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0,00%</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Autres subventions</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8,33%</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5,33%</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10,50%</w:t>
            </w:r>
          </w:p>
        </w:tc>
        <w:tc>
          <w:tcPr>
            <w:tcW w:w="1340" w:type="dxa"/>
            <w:tcBorders>
              <w:top w:val="nil"/>
              <w:left w:val="nil"/>
              <w:bottom w:val="nil"/>
              <w:right w:val="nil"/>
            </w:tcBorders>
            <w:shd w:val="clear" w:color="auto" w:fill="auto"/>
            <w:noWrap/>
            <w:vAlign w:val="bottom"/>
            <w:hideMark/>
          </w:tcPr>
          <w:p w:rsidR="00FE4921" w:rsidRPr="00A24A94" w:rsidRDefault="00FE4921" w:rsidP="00FE4921">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17,81%</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sz w:val="20"/>
                <w:szCs w:val="20"/>
                <w:lang w:eastAsia="fr-BE"/>
              </w:rPr>
            </w:pPr>
            <w:r w:rsidRPr="00FE4921">
              <w:rPr>
                <w:rFonts w:ascii="Arial" w:eastAsia="Times New Roman" w:hAnsi="Arial" w:cs="Arial"/>
                <w:sz w:val="20"/>
                <w:szCs w:val="20"/>
                <w:lang w:eastAsia="fr-BE"/>
              </w:rPr>
              <w:t>Charges dette</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9,48%</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10,54%</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17,65%</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sz w:val="20"/>
                <w:szCs w:val="20"/>
                <w:lang w:eastAsia="fr-BE"/>
              </w:rPr>
            </w:pPr>
            <w:r w:rsidRPr="00FE4921">
              <w:rPr>
                <w:rFonts w:ascii="Arial" w:eastAsia="Times New Roman" w:hAnsi="Arial" w:cs="Arial"/>
                <w:sz w:val="20"/>
                <w:szCs w:val="20"/>
                <w:lang w:eastAsia="fr-BE"/>
              </w:rPr>
              <w:t>11,38%</w:t>
            </w:r>
          </w:p>
        </w:tc>
      </w:tr>
      <w:tr w:rsidR="00FE4921" w:rsidRPr="00FE4921" w:rsidTr="00FE4921">
        <w:trPr>
          <w:trHeight w:val="255"/>
        </w:trPr>
        <w:tc>
          <w:tcPr>
            <w:tcW w:w="268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Dép totales - ex propre</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100,00%</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100,00%</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100,00%</w:t>
            </w:r>
          </w:p>
        </w:tc>
        <w:tc>
          <w:tcPr>
            <w:tcW w:w="1340" w:type="dxa"/>
            <w:tcBorders>
              <w:top w:val="nil"/>
              <w:left w:val="nil"/>
              <w:bottom w:val="nil"/>
              <w:right w:val="nil"/>
            </w:tcBorders>
            <w:shd w:val="clear" w:color="auto" w:fill="auto"/>
            <w:noWrap/>
            <w:vAlign w:val="bottom"/>
            <w:hideMark/>
          </w:tcPr>
          <w:p w:rsidR="00FE4921" w:rsidRPr="00FE4921" w:rsidRDefault="00FE4921" w:rsidP="00FE4921">
            <w:pPr>
              <w:spacing w:after="0" w:line="240" w:lineRule="auto"/>
              <w:jc w:val="right"/>
              <w:rPr>
                <w:rFonts w:ascii="Arial" w:eastAsia="Times New Roman" w:hAnsi="Arial" w:cs="Arial"/>
                <w:b/>
                <w:bCs/>
                <w:sz w:val="20"/>
                <w:szCs w:val="20"/>
                <w:lang w:eastAsia="fr-BE"/>
              </w:rPr>
            </w:pPr>
            <w:r w:rsidRPr="00FE4921">
              <w:rPr>
                <w:rFonts w:ascii="Arial" w:eastAsia="Times New Roman" w:hAnsi="Arial" w:cs="Arial"/>
                <w:b/>
                <w:bCs/>
                <w:sz w:val="20"/>
                <w:szCs w:val="20"/>
                <w:lang w:eastAsia="fr-BE"/>
              </w:rPr>
              <w:t>100,00%</w:t>
            </w:r>
          </w:p>
        </w:tc>
      </w:tr>
    </w:tbl>
    <w:p w:rsidR="00FE4921" w:rsidRDefault="00FE4921" w:rsidP="008234B3">
      <w:pPr>
        <w:spacing w:line="240" w:lineRule="auto"/>
        <w:jc w:val="both"/>
        <w:rPr>
          <w:u w:val="single"/>
        </w:rPr>
      </w:pPr>
    </w:p>
    <w:p w:rsidR="00752C62" w:rsidRDefault="00AF0574" w:rsidP="008234B3">
      <w:pPr>
        <w:spacing w:line="240" w:lineRule="auto"/>
        <w:jc w:val="both"/>
      </w:pPr>
      <w:r w:rsidRPr="00AF0574">
        <w:t>Par contre, du côté des dépenses</w:t>
      </w:r>
      <w:r>
        <w:t>, la même analyse comparative</w:t>
      </w:r>
      <w:r w:rsidR="002C1F2C">
        <w:t xml:space="preserve"> </w:t>
      </w:r>
      <w:r w:rsidR="00D92B0D">
        <w:t xml:space="preserve">révèle des transferts proportionnels plus élevés à Bruxelles pour les zones de police et </w:t>
      </w:r>
      <w:r w:rsidR="00FE4921">
        <w:t>beaucoup plu</w:t>
      </w:r>
      <w:r w:rsidR="0009189C">
        <w:t xml:space="preserve">s </w:t>
      </w:r>
      <w:r w:rsidR="00FE4921">
        <w:t>élevés</w:t>
      </w:r>
      <w:r w:rsidR="0009189C">
        <w:t xml:space="preserve"> pour</w:t>
      </w:r>
      <w:r w:rsidR="00FE4921">
        <w:t xml:space="preserve"> </w:t>
      </w:r>
      <w:r w:rsidR="00D92B0D">
        <w:t>les CPAS</w:t>
      </w:r>
      <w:r w:rsidR="0009189C">
        <w:t>,</w:t>
      </w:r>
      <w:r w:rsidR="002C1F2C">
        <w:t xml:space="preserve"> partiellement</w:t>
      </w:r>
      <w:r w:rsidR="00D92B0D">
        <w:t xml:space="preserve"> compensés par des </w:t>
      </w:r>
      <w:r w:rsidR="004C3D45">
        <w:t xml:space="preserve">‘Autres </w:t>
      </w:r>
      <w:r w:rsidR="00D92B0D">
        <w:t>subventions</w:t>
      </w:r>
      <w:r w:rsidR="004C3D45">
        <w:t>’</w:t>
      </w:r>
      <w:r w:rsidR="00D92B0D">
        <w:t xml:space="preserve"> en </w:t>
      </w:r>
      <w:r w:rsidR="0009189C">
        <w:t xml:space="preserve">nette </w:t>
      </w:r>
      <w:r w:rsidR="00D92B0D">
        <w:t>baisse pour le sport, la culture et toutes les activités associatives.</w:t>
      </w:r>
    </w:p>
    <w:p w:rsidR="00D92B0D" w:rsidRDefault="0009189C" w:rsidP="008234B3">
      <w:pPr>
        <w:spacing w:line="240" w:lineRule="auto"/>
        <w:jc w:val="both"/>
      </w:pPr>
      <w:r>
        <w:t>L’évolution négative des ‘autres subventions’ est particulièrement interpellante dans la mesure où les dépenses de ce type participent significativement à l’émergence de liens sociaux conviviaux au sein des communes.</w:t>
      </w:r>
    </w:p>
    <w:p w:rsidR="00AF06E1" w:rsidRDefault="00AF06E1" w:rsidP="008234B3">
      <w:pPr>
        <w:spacing w:line="240" w:lineRule="auto"/>
        <w:jc w:val="both"/>
        <w:rPr>
          <w:b/>
        </w:rPr>
      </w:pPr>
    </w:p>
    <w:p w:rsidR="0085488F" w:rsidRDefault="0085488F" w:rsidP="008234B3">
      <w:pPr>
        <w:spacing w:line="240" w:lineRule="auto"/>
        <w:jc w:val="both"/>
        <w:rPr>
          <w:b/>
        </w:rPr>
      </w:pPr>
    </w:p>
    <w:p w:rsidR="0085488F" w:rsidRDefault="0085488F" w:rsidP="008234B3">
      <w:pPr>
        <w:spacing w:line="240" w:lineRule="auto"/>
        <w:jc w:val="both"/>
        <w:rPr>
          <w:b/>
        </w:rPr>
      </w:pPr>
    </w:p>
    <w:p w:rsidR="0085488F" w:rsidRDefault="0085488F" w:rsidP="008234B3">
      <w:pPr>
        <w:spacing w:line="240" w:lineRule="auto"/>
        <w:jc w:val="both"/>
        <w:rPr>
          <w:b/>
        </w:rPr>
      </w:pPr>
    </w:p>
    <w:p w:rsidR="0085488F" w:rsidRDefault="0085488F" w:rsidP="008234B3">
      <w:pPr>
        <w:spacing w:line="240" w:lineRule="auto"/>
        <w:jc w:val="both"/>
        <w:rPr>
          <w:b/>
        </w:rPr>
      </w:pPr>
    </w:p>
    <w:p w:rsidR="0085488F" w:rsidRDefault="0085488F" w:rsidP="008234B3">
      <w:pPr>
        <w:spacing w:line="240" w:lineRule="auto"/>
        <w:jc w:val="both"/>
        <w:rPr>
          <w:b/>
        </w:rPr>
      </w:pPr>
    </w:p>
    <w:p w:rsidR="0085488F" w:rsidRDefault="0085488F" w:rsidP="008234B3">
      <w:pPr>
        <w:spacing w:line="240" w:lineRule="auto"/>
        <w:jc w:val="both"/>
        <w:rPr>
          <w:b/>
        </w:rPr>
      </w:pPr>
    </w:p>
    <w:p w:rsidR="0085488F" w:rsidRDefault="0085488F" w:rsidP="008234B3">
      <w:pPr>
        <w:spacing w:line="240" w:lineRule="auto"/>
        <w:jc w:val="both"/>
        <w:rPr>
          <w:b/>
        </w:rPr>
      </w:pPr>
    </w:p>
    <w:p w:rsidR="0085488F" w:rsidRDefault="0085488F" w:rsidP="008234B3">
      <w:pPr>
        <w:spacing w:line="240" w:lineRule="auto"/>
        <w:jc w:val="both"/>
        <w:rPr>
          <w:b/>
        </w:rPr>
      </w:pPr>
    </w:p>
    <w:p w:rsidR="00AF06E1" w:rsidRPr="00BA4F63" w:rsidRDefault="00BA4F63" w:rsidP="008234B3">
      <w:pPr>
        <w:spacing w:line="240" w:lineRule="auto"/>
        <w:jc w:val="both"/>
        <w:rPr>
          <w:u w:val="single"/>
        </w:rPr>
      </w:pPr>
      <w:r w:rsidRPr="00BA4F63">
        <w:rPr>
          <w:u w:val="single"/>
        </w:rPr>
        <w:lastRenderedPageBreak/>
        <w:t>L’évolution comparative des recettes et des dépenses</w:t>
      </w:r>
    </w:p>
    <w:tbl>
      <w:tblPr>
        <w:tblW w:w="10540" w:type="dxa"/>
        <w:jc w:val="center"/>
        <w:tblInd w:w="55" w:type="dxa"/>
        <w:tblCellMar>
          <w:left w:w="70" w:type="dxa"/>
          <w:right w:w="70" w:type="dxa"/>
        </w:tblCellMar>
        <w:tblLook w:val="04A0"/>
      </w:tblPr>
      <w:tblGrid>
        <w:gridCol w:w="2680"/>
        <w:gridCol w:w="1440"/>
        <w:gridCol w:w="1420"/>
        <w:gridCol w:w="1100"/>
        <w:gridCol w:w="1060"/>
        <w:gridCol w:w="1420"/>
        <w:gridCol w:w="1420"/>
      </w:tblGrid>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xml:space="preserve">ANNEE </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2003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2012</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2003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2012</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xml:space="preserve">NOM </w:t>
            </w:r>
          </w:p>
        </w:tc>
        <w:tc>
          <w:tcPr>
            <w:tcW w:w="2860" w:type="dxa"/>
            <w:gridSpan w:val="2"/>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xml:space="preserve">BRUXELLES (19 Com.)       </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augm.</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augm.</w:t>
            </w:r>
          </w:p>
        </w:tc>
        <w:tc>
          <w:tcPr>
            <w:tcW w:w="2840" w:type="dxa"/>
            <w:gridSpan w:val="2"/>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4 GV</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xml:space="preserve">POP </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992041</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1138854</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19c</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4GV</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1.065.253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1.139.182</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RECETTES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Prestat°</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75.200.954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138.762.559</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84,52%</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63,64%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80.224.456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131.279.925</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Transferts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1.275.015.431</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1.725.530.666</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35,33%</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24,94%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1.877.975.844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2.346.350.895</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Fonds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324.630.026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397.664.728</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22,50%</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28,42%</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911.238.303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1.170.257.771</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Fiscalité</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762.210.666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1.025.869.822</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34,59%</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22,14%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697.851.856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852.348.351</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Add IPP</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174.798.750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211.217.228</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20,83%</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27,04%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207.498.989</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263.600.241</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Add Préc immob</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450.233.590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569.146.920</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26,41%</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19,96%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349.786.011</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419.598.347</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Autres taxes add</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8.684.032</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11.388.806</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31,15%</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33,56%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9.701.399</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12.956.910</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Taxes locales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128.494.293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234.116.867</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82,20%</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19,35%</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130.865.457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156.192.853</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Subsides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188.174.739</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301.996.116</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60,49%</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20,40%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268.885.685</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323.744.773</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Produits financiers (rec dette)</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103.741.047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66.083.850</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-36,30%</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-34,51%</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159.394.120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104.381.278</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Dividendes Elec</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52.541.012</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35.535.550</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-32,37%</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-19,90%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36.201.104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28.997.530</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Dividendes Gaz</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12.445.412</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12.837.613</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3,15%</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-20,64%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30.592.216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24.279.123</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Prélèvements Fonct</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2.265.174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3.626.012</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60,08%</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201,27%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28.781.143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86.707.713</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Rec totales - ex propre</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1.456.222.606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1.934.003.087</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32,81%</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24,34%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2.146.375.563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2.668.719.811</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augm.</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 augm.</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DEPENSES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19c</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center"/>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4GV</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Personnel</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627.675.338</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806.780.484</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28,53%</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23,41%</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834.025.320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1.029.240.664</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Fonctionnement</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151.737.025</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225.546.114</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48,64%</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30,48%</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259.640.631</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338.781.293</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Transferts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509.124.053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705.572.129</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38,59%</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58,54%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661.994.367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1.049.510.365</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Dotat° ZP</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226.282.871</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310.619.859</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37,27%</w:t>
            </w:r>
          </w:p>
        </w:tc>
        <w:tc>
          <w:tcPr>
            <w:tcW w:w="106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26,22%</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267.963.942</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338.217.786</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Dotat° CPAS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163.898.180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274.958.539</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67,76%</w:t>
            </w:r>
          </w:p>
        </w:tc>
        <w:tc>
          <w:tcPr>
            <w:tcW w:w="106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31,87%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170.122.008</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224.344.604</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Déficit Hop</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23.316.264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13.584.920</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-41,74%</w:t>
            </w:r>
          </w:p>
        </w:tc>
        <w:tc>
          <w:tcPr>
            <w:tcW w:w="106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rPr>
                <w:rFonts w:ascii="Arial" w:eastAsia="Times New Roman" w:hAnsi="Arial" w:cs="Arial"/>
                <w:sz w:val="20"/>
                <w:szCs w:val="20"/>
                <w:lang w:eastAsia="fr-BE"/>
              </w:rPr>
            </w:pP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0</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0</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Autres subventions</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95.626.738</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103.473.279</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8,21%</w:t>
            </w:r>
          </w:p>
        </w:tc>
        <w:tc>
          <w:tcPr>
            <w:tcW w:w="106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117,03%</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223.908.417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485.957.716</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sz w:val="20"/>
                <w:szCs w:val="20"/>
                <w:lang w:eastAsia="fr-BE"/>
              </w:rPr>
            </w:pPr>
            <w:r w:rsidRPr="00BA4F63">
              <w:rPr>
                <w:rFonts w:ascii="Arial" w:eastAsia="Times New Roman" w:hAnsi="Arial" w:cs="Arial"/>
                <w:sz w:val="20"/>
                <w:szCs w:val="20"/>
                <w:lang w:eastAsia="fr-BE"/>
              </w:rPr>
              <w:t>Charges dette</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135.355.907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204.589.956</w:t>
            </w:r>
          </w:p>
        </w:tc>
        <w:tc>
          <w:tcPr>
            <w:tcW w:w="110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51,15%</w:t>
            </w:r>
          </w:p>
        </w:tc>
        <w:tc>
          <w:tcPr>
            <w:tcW w:w="1060" w:type="dxa"/>
            <w:tcBorders>
              <w:top w:val="nil"/>
              <w:left w:val="nil"/>
              <w:bottom w:val="nil"/>
              <w:right w:val="nil"/>
            </w:tcBorders>
            <w:shd w:val="clear" w:color="auto" w:fill="auto"/>
            <w:noWrap/>
            <w:vAlign w:val="bottom"/>
            <w:hideMark/>
          </w:tcPr>
          <w:p w:rsidR="00BA4F63" w:rsidRPr="00A24A94" w:rsidRDefault="00BA4F63" w:rsidP="00BA4F63">
            <w:pPr>
              <w:spacing w:after="0" w:line="240" w:lineRule="auto"/>
              <w:jc w:val="right"/>
              <w:rPr>
                <w:rFonts w:ascii="Arial" w:eastAsia="Times New Roman" w:hAnsi="Arial" w:cs="Arial"/>
                <w:sz w:val="20"/>
                <w:szCs w:val="20"/>
                <w:lang w:eastAsia="fr-BE"/>
              </w:rPr>
            </w:pPr>
            <w:r w:rsidRPr="00A24A94">
              <w:rPr>
                <w:rFonts w:ascii="Arial" w:eastAsia="Times New Roman" w:hAnsi="Arial" w:cs="Arial"/>
                <w:sz w:val="20"/>
                <w:szCs w:val="20"/>
                <w:lang w:eastAsia="fr-BE"/>
              </w:rPr>
              <w:t>-17,49%</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376.279.694</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sz w:val="20"/>
                <w:szCs w:val="20"/>
                <w:lang w:eastAsia="fr-BE"/>
              </w:rPr>
            </w:pPr>
            <w:r w:rsidRPr="00BA4F63">
              <w:rPr>
                <w:rFonts w:ascii="Arial" w:eastAsia="Times New Roman" w:hAnsi="Arial" w:cs="Arial"/>
                <w:sz w:val="20"/>
                <w:szCs w:val="20"/>
                <w:lang w:eastAsia="fr-BE"/>
              </w:rPr>
              <w:t>310.475.153</w:t>
            </w:r>
          </w:p>
        </w:tc>
      </w:tr>
      <w:tr w:rsidR="00BA4F63" w:rsidRPr="00BA4F63" w:rsidTr="00110F1C">
        <w:trPr>
          <w:trHeight w:val="255"/>
          <w:jc w:val="center"/>
        </w:trPr>
        <w:tc>
          <w:tcPr>
            <w:tcW w:w="268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Dép totales - ex propre</w:t>
            </w:r>
          </w:p>
        </w:tc>
        <w:tc>
          <w:tcPr>
            <w:tcW w:w="144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1.427.655.017</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1.941.821.882</w:t>
            </w:r>
          </w:p>
        </w:tc>
        <w:tc>
          <w:tcPr>
            <w:tcW w:w="110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36,01%</w:t>
            </w:r>
          </w:p>
        </w:tc>
        <w:tc>
          <w:tcPr>
            <w:tcW w:w="106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27,96%</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2.132.050.108</w:t>
            </w:r>
          </w:p>
        </w:tc>
        <w:tc>
          <w:tcPr>
            <w:tcW w:w="1420" w:type="dxa"/>
            <w:tcBorders>
              <w:top w:val="nil"/>
              <w:left w:val="nil"/>
              <w:bottom w:val="nil"/>
              <w:right w:val="nil"/>
            </w:tcBorders>
            <w:shd w:val="clear" w:color="auto" w:fill="auto"/>
            <w:noWrap/>
            <w:vAlign w:val="bottom"/>
            <w:hideMark/>
          </w:tcPr>
          <w:p w:rsidR="00BA4F63" w:rsidRPr="00BA4F63" w:rsidRDefault="00BA4F63" w:rsidP="00BA4F63">
            <w:pPr>
              <w:spacing w:after="0" w:line="240" w:lineRule="auto"/>
              <w:jc w:val="right"/>
              <w:rPr>
                <w:rFonts w:ascii="Arial" w:eastAsia="Times New Roman" w:hAnsi="Arial" w:cs="Arial"/>
                <w:b/>
                <w:bCs/>
                <w:sz w:val="20"/>
                <w:szCs w:val="20"/>
                <w:lang w:eastAsia="fr-BE"/>
              </w:rPr>
            </w:pPr>
            <w:r w:rsidRPr="00BA4F63">
              <w:rPr>
                <w:rFonts w:ascii="Arial" w:eastAsia="Times New Roman" w:hAnsi="Arial" w:cs="Arial"/>
                <w:b/>
                <w:bCs/>
                <w:sz w:val="20"/>
                <w:szCs w:val="20"/>
                <w:lang w:eastAsia="fr-BE"/>
              </w:rPr>
              <w:t>2.728.094.975</w:t>
            </w:r>
          </w:p>
        </w:tc>
      </w:tr>
    </w:tbl>
    <w:p w:rsidR="00AF06E1" w:rsidRDefault="00AF06E1" w:rsidP="008234B3">
      <w:pPr>
        <w:spacing w:line="240" w:lineRule="auto"/>
        <w:jc w:val="both"/>
        <w:rPr>
          <w:b/>
        </w:rPr>
      </w:pPr>
    </w:p>
    <w:p w:rsidR="00452C70" w:rsidRDefault="00452C70" w:rsidP="008234B3">
      <w:pPr>
        <w:spacing w:line="240" w:lineRule="auto"/>
        <w:jc w:val="both"/>
        <w:rPr>
          <w:b/>
        </w:rPr>
      </w:pPr>
    </w:p>
    <w:p w:rsidR="00AF06E1" w:rsidRDefault="00AD18C1" w:rsidP="008234B3">
      <w:pPr>
        <w:spacing w:line="240" w:lineRule="auto"/>
        <w:jc w:val="both"/>
        <w:rPr>
          <w:b/>
        </w:rPr>
      </w:pPr>
      <w:r>
        <w:rPr>
          <w:b/>
        </w:rPr>
        <w:t>Recettes</w:t>
      </w:r>
    </w:p>
    <w:p w:rsidR="00BA4F63" w:rsidRPr="00AD18C1" w:rsidRDefault="00AD18C1" w:rsidP="008234B3">
      <w:pPr>
        <w:spacing w:line="240" w:lineRule="auto"/>
        <w:jc w:val="both"/>
      </w:pPr>
      <w:r>
        <w:t>Au niveau des recettes, une forte hausse de recettes de prestations (les communes facturent de plus en plus certains services rendus aux citoyens), une forte augmentation de la fiscalité surtout au niveau du précompte immobilier, le rendement de l’IPP étant limité par l’appauvrissement de la population,  une tr</w:t>
      </w:r>
      <w:r w:rsidR="00110F1C">
        <w:t xml:space="preserve">ès forte augmentation des taxes locales (+ 82 %) et une forte augmentation des subsides grâce à des efforts conséquents de la Région de Bruxelles-Capitale au niveau de la dotation générale aux communes, l’assainissement des trésoreries etc… </w:t>
      </w:r>
    </w:p>
    <w:p w:rsidR="00AF06E1" w:rsidRDefault="00110F1C" w:rsidP="008234B3">
      <w:pPr>
        <w:spacing w:line="240" w:lineRule="auto"/>
        <w:jc w:val="both"/>
        <w:rPr>
          <w:b/>
        </w:rPr>
      </w:pPr>
      <w:r>
        <w:rPr>
          <w:b/>
        </w:rPr>
        <w:t>Dépenses</w:t>
      </w:r>
    </w:p>
    <w:p w:rsidR="00110F1C" w:rsidRDefault="00110F1C" w:rsidP="008234B3">
      <w:pPr>
        <w:spacing w:line="240" w:lineRule="auto"/>
        <w:jc w:val="both"/>
      </w:pPr>
      <w:r w:rsidRPr="00110F1C">
        <w:t xml:space="preserve">Durant la période sous revue, </w:t>
      </w:r>
      <w:r>
        <w:t>les communes bruxelloises ont connu une forte augmentation des transferts vers les zones de police et une explosion des dotations aux CPAS (+ 67 %). Cette explosion des dotations aux CPAS est certes due à la paupérisation croissante de la population, mais aussi au rôle d’accueil que jouent les communes bruxelloises pour les primo-arrivants.</w:t>
      </w:r>
    </w:p>
    <w:p w:rsidR="00300C50" w:rsidRDefault="00110F1C" w:rsidP="008234B3">
      <w:pPr>
        <w:spacing w:line="240" w:lineRule="auto"/>
        <w:jc w:val="both"/>
      </w:pPr>
      <w:r>
        <w:lastRenderedPageBreak/>
        <w:t>A noter la stagnation des ‘autres subventions’ et la forte augmentation des charges de dette, cette augmentation résultant surtout de la faible part d’autofinancement des communes bruxelloises dans leurs investissements très majoritairement financés par emprunts.</w:t>
      </w:r>
    </w:p>
    <w:p w:rsidR="00452C70" w:rsidRDefault="00300C50" w:rsidP="001B434B">
      <w:pPr>
        <w:spacing w:line="240" w:lineRule="auto"/>
        <w:jc w:val="both"/>
      </w:pPr>
      <w:r>
        <w:t>La diminution des charges de dette pour les quatre grandes villes résultent essentiellement de plans régionaux de réduction de l’endettement des pouvoirs locaux, tant au Nord qu’au Sud du pays.</w:t>
      </w:r>
    </w:p>
    <w:p w:rsidR="001B434B" w:rsidRPr="001B434B" w:rsidRDefault="001B434B" w:rsidP="001B434B">
      <w:pPr>
        <w:spacing w:line="240" w:lineRule="auto"/>
        <w:jc w:val="both"/>
        <w:rPr>
          <w:sz w:val="2"/>
          <w:szCs w:val="2"/>
        </w:rPr>
      </w:pPr>
    </w:p>
    <w:p w:rsidR="00110F1C" w:rsidRPr="001B434B" w:rsidRDefault="00FC4A9E" w:rsidP="00452C70">
      <w:pPr>
        <w:pStyle w:val="Titre"/>
        <w:rPr>
          <w:sz w:val="36"/>
          <w:szCs w:val="36"/>
        </w:rPr>
      </w:pPr>
      <w:r w:rsidRPr="001B434B">
        <w:rPr>
          <w:sz w:val="36"/>
          <w:szCs w:val="36"/>
        </w:rPr>
        <w:t xml:space="preserve">4 </w:t>
      </w:r>
      <w:r w:rsidR="00831DF5" w:rsidRPr="001B434B">
        <w:rPr>
          <w:sz w:val="36"/>
          <w:szCs w:val="36"/>
        </w:rPr>
        <w:t>Un financement des zones de police et une ‘solidarité’ gelée défavorable pour les</w:t>
      </w:r>
      <w:r w:rsidR="00452C70" w:rsidRPr="001B434B">
        <w:rPr>
          <w:sz w:val="36"/>
          <w:szCs w:val="36"/>
        </w:rPr>
        <w:t xml:space="preserve"> </w:t>
      </w:r>
      <w:r w:rsidR="00831DF5" w:rsidRPr="001B434B">
        <w:rPr>
          <w:sz w:val="36"/>
          <w:szCs w:val="36"/>
        </w:rPr>
        <w:t>communes bruxelloises</w:t>
      </w:r>
      <w:r w:rsidR="00831DF5" w:rsidRPr="001B434B">
        <w:rPr>
          <w:rStyle w:val="Appelnotedebasdep"/>
          <w:b/>
          <w:i/>
          <w:iCs/>
          <w:sz w:val="36"/>
          <w:szCs w:val="36"/>
        </w:rPr>
        <w:footnoteReference w:id="3"/>
      </w:r>
    </w:p>
    <w:p w:rsidR="00831DF5" w:rsidRPr="00831DF5" w:rsidRDefault="00A24A94" w:rsidP="00FC4A9E">
      <w:pPr>
        <w:spacing w:after="0" w:line="240" w:lineRule="auto"/>
        <w:jc w:val="both"/>
      </w:pPr>
      <w:r>
        <w:t>Quelques remarques concernant le financement des zones de police :</w:t>
      </w:r>
      <w:r w:rsidR="00D0554B">
        <w:t xml:space="preserve"> </w:t>
      </w:r>
    </w:p>
    <w:p w:rsidR="00D0554B" w:rsidRDefault="00D0554B" w:rsidP="00D0554B">
      <w:pPr>
        <w:pStyle w:val="Paragraphedeliste"/>
        <w:numPr>
          <w:ilvl w:val="0"/>
          <w:numId w:val="1"/>
        </w:numPr>
        <w:spacing w:line="240" w:lineRule="auto"/>
        <w:jc w:val="both"/>
        <w:rPr>
          <w:lang w:val="fr-FR"/>
        </w:rPr>
      </w:pPr>
      <w:r w:rsidRPr="00D0554B">
        <w:rPr>
          <w:lang w:val="fr-FR"/>
        </w:rPr>
        <w:t xml:space="preserve"> les Communes bruxelloises dépensent proportionnellement plus pour leurs zones de police que les quatre autres grandes villes du pays pour un financement moindre de ces zones, compte tenu de leur situation financière propre bien plus défavorable.</w:t>
      </w:r>
    </w:p>
    <w:p w:rsidR="00D0554B" w:rsidRPr="00D0554B" w:rsidRDefault="00D0554B" w:rsidP="00D0554B">
      <w:pPr>
        <w:pStyle w:val="Paragraphedeliste"/>
        <w:spacing w:line="240" w:lineRule="auto"/>
        <w:jc w:val="both"/>
        <w:rPr>
          <w:lang w:val="fr-FR"/>
        </w:rPr>
      </w:pPr>
    </w:p>
    <w:p w:rsidR="00D0554B" w:rsidRDefault="00D0554B" w:rsidP="00A24A94">
      <w:pPr>
        <w:pStyle w:val="Paragraphedeliste"/>
        <w:numPr>
          <w:ilvl w:val="0"/>
          <w:numId w:val="1"/>
        </w:numPr>
        <w:spacing w:line="240" w:lineRule="auto"/>
        <w:jc w:val="both"/>
        <w:rPr>
          <w:lang w:val="fr-FR"/>
        </w:rPr>
      </w:pPr>
      <w:r w:rsidRPr="00D0554B">
        <w:rPr>
          <w:lang w:val="fr-FR"/>
        </w:rPr>
        <w:t>la gestion des zones de police bruxelloises n’</w:t>
      </w:r>
      <w:r>
        <w:rPr>
          <w:lang w:val="fr-FR"/>
        </w:rPr>
        <w:t xml:space="preserve">est </w:t>
      </w:r>
      <w:r w:rsidRPr="00D0554B">
        <w:rPr>
          <w:lang w:val="fr-FR"/>
        </w:rPr>
        <w:t xml:space="preserve">pas plus dispendieuse </w:t>
      </w:r>
      <w:r w:rsidR="00A24A94">
        <w:rPr>
          <w:lang w:val="fr-FR"/>
        </w:rPr>
        <w:t xml:space="preserve">que </w:t>
      </w:r>
      <w:r w:rsidRPr="00D0554B">
        <w:rPr>
          <w:lang w:val="fr-FR"/>
        </w:rPr>
        <w:t>dans les 4 autres grandes villes.</w:t>
      </w:r>
    </w:p>
    <w:p w:rsidR="00D0554B" w:rsidRPr="00D0554B" w:rsidRDefault="00D0554B" w:rsidP="00D0554B">
      <w:pPr>
        <w:pStyle w:val="Paragraphedeliste"/>
        <w:rPr>
          <w:lang w:val="fr-FR"/>
        </w:rPr>
      </w:pPr>
    </w:p>
    <w:p w:rsidR="00D0554B" w:rsidRPr="00A02C2C" w:rsidRDefault="00D0554B" w:rsidP="00BD4648">
      <w:pPr>
        <w:pStyle w:val="Paragraphedeliste"/>
        <w:numPr>
          <w:ilvl w:val="0"/>
          <w:numId w:val="1"/>
        </w:numPr>
        <w:spacing w:line="240" w:lineRule="auto"/>
        <w:jc w:val="both"/>
        <w:rPr>
          <w:lang w:val="fr-FR"/>
        </w:rPr>
      </w:pPr>
      <w:r w:rsidRPr="00A02C2C">
        <w:rPr>
          <w:lang w:val="fr-FR"/>
        </w:rPr>
        <w:t>le système de financement de la police intégrée et la norme KUL utilisée (à défaut et de manière inappropriée puisque non conçue pour cela) pour la répartition de ce financement entre les zones de police se révèlent à l’analyse défavorables sur bien des points aux zones de police de la Région de Bruxelles-Capitale.</w:t>
      </w:r>
      <w:r w:rsidR="00A02C2C" w:rsidRPr="00A02C2C">
        <w:rPr>
          <w:lang w:val="fr-FR"/>
        </w:rPr>
        <w:t xml:space="preserve"> De nombreuses situations de terrain requérant pour ces zones de fortes charges de travail policier ont été sous-estimées voire négligées dans leur financement.</w:t>
      </w:r>
      <w:r w:rsidR="00BD4648">
        <w:rPr>
          <w:lang w:val="fr-FR"/>
        </w:rPr>
        <w:t xml:space="preserve"> Celui-ci n’a d’autre part pas été actualisé en fonction de l’augmentation de la population à Bruxelles.</w:t>
      </w:r>
    </w:p>
    <w:p w:rsidR="004D772E" w:rsidRPr="004D772E" w:rsidRDefault="004D772E" w:rsidP="004D772E">
      <w:pPr>
        <w:pStyle w:val="Paragraphedeliste"/>
        <w:rPr>
          <w:lang w:val="fr-FR"/>
        </w:rPr>
      </w:pPr>
    </w:p>
    <w:p w:rsidR="00D0554B" w:rsidRPr="004D772E" w:rsidRDefault="00A02C2C" w:rsidP="004D772E">
      <w:pPr>
        <w:pStyle w:val="Paragraphedeliste"/>
        <w:numPr>
          <w:ilvl w:val="0"/>
          <w:numId w:val="1"/>
        </w:numPr>
        <w:spacing w:line="240" w:lineRule="auto"/>
        <w:jc w:val="both"/>
        <w:rPr>
          <w:lang w:val="fr-FR"/>
        </w:rPr>
      </w:pPr>
      <w:r>
        <w:rPr>
          <w:lang w:val="fr-FR"/>
        </w:rPr>
        <w:t>Le</w:t>
      </w:r>
      <w:r w:rsidR="00D0554B" w:rsidRPr="004D772E">
        <w:rPr>
          <w:lang w:val="fr-FR"/>
        </w:rPr>
        <w:t xml:space="preserve"> mécanisme de la solidarité gelée, totalement injustifié au vu de la situation financière des zones de police bruxelloises, doit être corrigé sinon supprimé dans les meilleurs délais.</w:t>
      </w:r>
    </w:p>
    <w:p w:rsidR="00831DF5" w:rsidRDefault="004D772E" w:rsidP="00A02C2C">
      <w:pPr>
        <w:spacing w:line="240" w:lineRule="auto"/>
        <w:jc w:val="both"/>
        <w:rPr>
          <w:lang w:val="fr-FR"/>
        </w:rPr>
      </w:pPr>
      <w:r>
        <w:rPr>
          <w:lang w:val="fr-FR"/>
        </w:rPr>
        <w:t>Ce dernier mécanisme est l’exemple même d’une décision qui semble anodine au départ mais finit par constituer une véritable spoliation des zones de police bruxelloises dès lors que les règles du jeu sont totalement modifiées en cours de partie.</w:t>
      </w:r>
    </w:p>
    <w:p w:rsidR="004D772E" w:rsidRPr="004D772E" w:rsidRDefault="004D772E" w:rsidP="004D772E">
      <w:pPr>
        <w:spacing w:line="240" w:lineRule="auto"/>
        <w:jc w:val="both"/>
      </w:pPr>
      <w:r w:rsidRPr="004D772E">
        <w:t>En 2001 a été fixée une enveloppe fédérale globale pour le financement des zones de police.</w:t>
      </w:r>
    </w:p>
    <w:p w:rsidR="004D772E" w:rsidRPr="004D772E" w:rsidRDefault="004D772E" w:rsidP="004D772E">
      <w:pPr>
        <w:spacing w:line="240" w:lineRule="auto"/>
        <w:jc w:val="both"/>
      </w:pPr>
      <w:r w:rsidRPr="004D772E">
        <w:t>Les différentes zones ont été classées en zones riches, stables et pauvres</w:t>
      </w:r>
      <w:r w:rsidR="00A02C2C">
        <w:t xml:space="preserve"> en fonction de l’importance de l’effort que faisaient les communes pour le financement de leur police</w:t>
      </w:r>
      <w:r w:rsidRPr="004D772E">
        <w:t>. Les zones riches ont vu leur enveloppe diminuer de quelque 25 millions € en faveur des zones  pauvres. Pour les 6 zones de police bruxelloises, le coût de la solidarité (soit une diminution de leur dotation fédérale) s’élevait en 2002 à 9.527.812.31 €</w:t>
      </w:r>
      <w:r w:rsidR="006A0250">
        <w:t>, soit 40 % de la solidarité totale</w:t>
      </w:r>
      <w:r w:rsidRPr="004D772E">
        <w:t>.</w:t>
      </w:r>
    </w:p>
    <w:p w:rsidR="004D772E" w:rsidRPr="004D772E" w:rsidRDefault="004D772E" w:rsidP="004D772E">
      <w:pPr>
        <w:spacing w:line="240" w:lineRule="auto"/>
        <w:jc w:val="both"/>
      </w:pPr>
      <w:r w:rsidRPr="004D772E">
        <w:t>Il était entendu qu’ensuite cette solidarité devait diminuer d’un douzième par an soit 793.984,36 € et la dotation annuelle aux zones de police bruxelloises augmenter d’autant chaque année jusqu’en 2014 inclus.</w:t>
      </w:r>
    </w:p>
    <w:p w:rsidR="001B434B" w:rsidRDefault="001B434B" w:rsidP="004D772E">
      <w:pPr>
        <w:spacing w:line="240" w:lineRule="auto"/>
        <w:jc w:val="both"/>
      </w:pPr>
    </w:p>
    <w:p w:rsidR="004D772E" w:rsidRPr="004D772E" w:rsidRDefault="004D772E" w:rsidP="004D772E">
      <w:pPr>
        <w:spacing w:line="240" w:lineRule="auto"/>
        <w:jc w:val="both"/>
      </w:pPr>
      <w:r w:rsidRPr="004D772E">
        <w:lastRenderedPageBreak/>
        <w:t>Ce scénario n’a pas été du tout respecté : la solidarité a été gelée dès 2004 à raison de 50 % et surtout dès 2005 à hauteur de 75 %. Ainsi, en 2004, au lieu de diminuer d’un douzième, la solidarité ne diminue plus que d’un vingt-quatrième (50 % x 1/12) et à partir de 2005 d’un quarante-huitième (25% x 1/12).</w:t>
      </w:r>
    </w:p>
    <w:p w:rsidR="004D772E" w:rsidRPr="004D772E" w:rsidRDefault="004D772E" w:rsidP="004D772E">
      <w:pPr>
        <w:spacing w:line="240" w:lineRule="auto"/>
        <w:jc w:val="both"/>
      </w:pPr>
      <w:r w:rsidRPr="004D772E">
        <w:t>Ce qui donne les coûts globaux de la solidarité (gelée) pour Bruxelles ci-après.</w:t>
      </w:r>
    </w:p>
    <w:p w:rsidR="004D772E" w:rsidRPr="004D772E" w:rsidRDefault="004D772E" w:rsidP="004D772E">
      <w:pPr>
        <w:spacing w:line="240" w:lineRule="auto"/>
        <w:jc w:val="both"/>
      </w:pPr>
      <w:r w:rsidRPr="004D772E">
        <w:t xml:space="preserve">Fin 2012, au lieu d’une solidarité cumulée prévue s’élevant à 61.136.796 €, les 6 zones de police bruxelloises auront déjà ‘cotisé’ à hauteur de 86.147.303 €, soit une différence de 25.010.507 €, c.à.d. 40 % de plus que le scénario initialement prévu.  </w:t>
      </w:r>
    </w:p>
    <w:p w:rsidR="004D772E" w:rsidRPr="004D772E" w:rsidRDefault="004D772E" w:rsidP="004D772E">
      <w:pPr>
        <w:spacing w:line="240" w:lineRule="auto"/>
        <w:jc w:val="both"/>
      </w:pPr>
      <w:r w:rsidRPr="004D772E">
        <w:t>Si aucune mesure n’est prise, la solidarité des 6 zones de Bruxelles-Capitale ne devrait s’éteindre qu’en 2046, à raison d’une diminution d’un quarante-huitième par an.</w:t>
      </w:r>
    </w:p>
    <w:p w:rsidR="004D772E" w:rsidRPr="004D772E" w:rsidRDefault="004D772E" w:rsidP="004D772E">
      <w:pPr>
        <w:spacing w:line="240" w:lineRule="auto"/>
        <w:jc w:val="both"/>
      </w:pPr>
      <w:r w:rsidRPr="004D772E">
        <w:t>Au total, la solidarité devrait coûter 197.503.609 € au lieu des 61.930.780 € prévus, soit une différence de 135.572.829 €, c.à.d. 218 % de plus que le scénario initialement prévu.</w:t>
      </w:r>
      <w:r>
        <w:t> (Annexe 1)</w:t>
      </w:r>
    </w:p>
    <w:p w:rsidR="00452C70" w:rsidRDefault="004D772E" w:rsidP="001B434B">
      <w:pPr>
        <w:spacing w:line="240" w:lineRule="auto"/>
        <w:jc w:val="both"/>
      </w:pPr>
      <w:r w:rsidRPr="004D772E">
        <w:t xml:space="preserve">Si l’on peut comprendre qu’une certaine solidarité </w:t>
      </w:r>
      <w:r w:rsidR="003E0AD5">
        <w:t>était</w:t>
      </w:r>
      <w:r w:rsidRPr="004D772E">
        <w:t xml:space="preserve"> de mise en 2002</w:t>
      </w:r>
      <w:r w:rsidR="003E0AD5">
        <w:t xml:space="preserve"> sous la forme décidée</w:t>
      </w:r>
      <w:r w:rsidRPr="004D772E">
        <w:t>, il apparaît indécent que cette solidarité soit gelée et maintenue au-delà du raisonnable lorsque l’on se penche sur les finances des zones de police bruxelloises, leur sous-financement comparativement aux zones des autres grandes villes du pays malgré les efforts budgétaires comparativement plus élevés des communes bruxelloises.</w:t>
      </w:r>
    </w:p>
    <w:p w:rsidR="00452C70" w:rsidRPr="001B434B" w:rsidRDefault="00452C70" w:rsidP="004D772E">
      <w:pPr>
        <w:spacing w:line="240" w:lineRule="auto"/>
        <w:jc w:val="both"/>
        <w:rPr>
          <w:sz w:val="2"/>
          <w:szCs w:val="2"/>
        </w:rPr>
      </w:pPr>
    </w:p>
    <w:p w:rsidR="00AF06E1" w:rsidRPr="001B434B" w:rsidRDefault="00FC4A9E" w:rsidP="00452C70">
      <w:pPr>
        <w:pStyle w:val="Titre"/>
        <w:rPr>
          <w:sz w:val="36"/>
          <w:szCs w:val="36"/>
        </w:rPr>
      </w:pPr>
      <w:r w:rsidRPr="001B434B">
        <w:rPr>
          <w:sz w:val="36"/>
          <w:szCs w:val="36"/>
        </w:rPr>
        <w:t xml:space="preserve">5 </w:t>
      </w:r>
      <w:r w:rsidR="00300C50" w:rsidRPr="001B434B">
        <w:rPr>
          <w:sz w:val="36"/>
          <w:szCs w:val="36"/>
        </w:rPr>
        <w:t>L</w:t>
      </w:r>
      <w:r w:rsidR="00CD4410" w:rsidRPr="001B434B">
        <w:rPr>
          <w:sz w:val="36"/>
          <w:szCs w:val="36"/>
        </w:rPr>
        <w:t>’insuffisance du refinancement des institutions bruxelloises</w:t>
      </w:r>
      <w:r w:rsidR="00300C50" w:rsidRPr="001B434B">
        <w:rPr>
          <w:sz w:val="36"/>
          <w:szCs w:val="36"/>
        </w:rPr>
        <w:t>.</w:t>
      </w:r>
    </w:p>
    <w:p w:rsidR="00AF06E1" w:rsidRDefault="00311410" w:rsidP="00A02C2C">
      <w:pPr>
        <w:spacing w:line="240" w:lineRule="auto"/>
        <w:jc w:val="both"/>
        <w:rPr>
          <w:b/>
        </w:rPr>
      </w:pPr>
      <w:r>
        <w:t xml:space="preserve">Certains croient que les 461 millions € </w:t>
      </w:r>
      <w:r w:rsidR="006A0250">
        <w:t>qui</w:t>
      </w:r>
      <w:r w:rsidR="00937C5B">
        <w:t xml:space="preserve"> à partir de 201</w:t>
      </w:r>
      <w:r w:rsidR="00AA0B42">
        <w:t>2</w:t>
      </w:r>
      <w:r w:rsidR="006A0250">
        <w:t xml:space="preserve"> seront </w:t>
      </w:r>
      <w:r>
        <w:t>progressivement versés à la Région bruxelloise</w:t>
      </w:r>
      <w:r w:rsidR="006A0250">
        <w:t>, dans le cadre de la 6</w:t>
      </w:r>
      <w:r w:rsidR="00A02C2C">
        <w:t>è</w:t>
      </w:r>
      <w:r w:rsidR="006A0250">
        <w:t>me réforme de l’Etat,</w:t>
      </w:r>
      <w:r>
        <w:t xml:space="preserve"> pourront, entre autres, servir à soulager la trésorerie des communes. Hélas, il n’en est rien</w:t>
      </w:r>
      <w:r w:rsidR="003A6E5A">
        <w:t>.</w:t>
      </w:r>
    </w:p>
    <w:tbl>
      <w:tblPr>
        <w:tblStyle w:val="Grilledutableau"/>
        <w:tblW w:w="0" w:type="auto"/>
        <w:tblLayout w:type="fixed"/>
        <w:tblLook w:val="04A0"/>
      </w:tblPr>
      <w:tblGrid>
        <w:gridCol w:w="3794"/>
        <w:gridCol w:w="1354"/>
        <w:gridCol w:w="1355"/>
        <w:gridCol w:w="1354"/>
        <w:gridCol w:w="1355"/>
      </w:tblGrid>
      <w:tr w:rsidR="00311410" w:rsidTr="00311410">
        <w:tc>
          <w:tcPr>
            <w:tcW w:w="3794" w:type="dxa"/>
          </w:tcPr>
          <w:p w:rsidR="00311410" w:rsidRDefault="00311410" w:rsidP="00F31D24">
            <w:pPr>
              <w:jc w:val="both"/>
              <w:rPr>
                <w:b/>
              </w:rPr>
            </w:pPr>
            <w:r>
              <w:rPr>
                <w:b/>
              </w:rPr>
              <w:t>Millions €</w:t>
            </w:r>
          </w:p>
        </w:tc>
        <w:tc>
          <w:tcPr>
            <w:tcW w:w="1354" w:type="dxa"/>
          </w:tcPr>
          <w:p w:rsidR="00311410" w:rsidRDefault="00311410" w:rsidP="00311410">
            <w:pPr>
              <w:jc w:val="center"/>
              <w:rPr>
                <w:b/>
              </w:rPr>
            </w:pPr>
            <w:r>
              <w:rPr>
                <w:b/>
              </w:rPr>
              <w:t>2012</w:t>
            </w:r>
          </w:p>
        </w:tc>
        <w:tc>
          <w:tcPr>
            <w:tcW w:w="1355" w:type="dxa"/>
          </w:tcPr>
          <w:p w:rsidR="00311410" w:rsidRDefault="00311410" w:rsidP="00311410">
            <w:pPr>
              <w:jc w:val="center"/>
              <w:rPr>
                <w:b/>
              </w:rPr>
            </w:pPr>
            <w:r>
              <w:rPr>
                <w:b/>
              </w:rPr>
              <w:t>2013</w:t>
            </w:r>
          </w:p>
        </w:tc>
        <w:tc>
          <w:tcPr>
            <w:tcW w:w="1354" w:type="dxa"/>
          </w:tcPr>
          <w:p w:rsidR="00311410" w:rsidRDefault="00311410" w:rsidP="00311410">
            <w:pPr>
              <w:jc w:val="center"/>
              <w:rPr>
                <w:b/>
              </w:rPr>
            </w:pPr>
            <w:r>
              <w:rPr>
                <w:b/>
              </w:rPr>
              <w:t>2014</w:t>
            </w:r>
          </w:p>
        </w:tc>
        <w:tc>
          <w:tcPr>
            <w:tcW w:w="1355" w:type="dxa"/>
          </w:tcPr>
          <w:p w:rsidR="00311410" w:rsidRDefault="00311410" w:rsidP="00311410">
            <w:pPr>
              <w:jc w:val="center"/>
              <w:rPr>
                <w:b/>
              </w:rPr>
            </w:pPr>
            <w:r>
              <w:rPr>
                <w:b/>
              </w:rPr>
              <w:t>À.p.d. 2015</w:t>
            </w:r>
          </w:p>
        </w:tc>
      </w:tr>
      <w:tr w:rsidR="00311410" w:rsidTr="002B57EE">
        <w:tc>
          <w:tcPr>
            <w:tcW w:w="9212" w:type="dxa"/>
            <w:gridSpan w:val="5"/>
          </w:tcPr>
          <w:p w:rsidR="00311410" w:rsidRDefault="00311410" w:rsidP="00311410">
            <w:pPr>
              <w:jc w:val="center"/>
              <w:rPr>
                <w:b/>
              </w:rPr>
            </w:pPr>
            <w:r>
              <w:rPr>
                <w:b/>
              </w:rPr>
              <w:t>1</w:t>
            </w:r>
            <w:r w:rsidRPr="00311410">
              <w:rPr>
                <w:b/>
                <w:vertAlign w:val="superscript"/>
              </w:rPr>
              <w:t>er</w:t>
            </w:r>
            <w:r>
              <w:rPr>
                <w:b/>
              </w:rPr>
              <w:t xml:space="preserve"> volet</w:t>
            </w:r>
          </w:p>
        </w:tc>
      </w:tr>
      <w:tr w:rsidR="00311410" w:rsidTr="002B57EE">
        <w:tc>
          <w:tcPr>
            <w:tcW w:w="9212" w:type="dxa"/>
            <w:gridSpan w:val="5"/>
          </w:tcPr>
          <w:p w:rsidR="00311410" w:rsidRDefault="00311410" w:rsidP="00311410">
            <w:pPr>
              <w:jc w:val="center"/>
              <w:rPr>
                <w:b/>
              </w:rPr>
            </w:pPr>
            <w:r>
              <w:rPr>
                <w:b/>
              </w:rPr>
              <w:t>Montants affectés</w:t>
            </w:r>
          </w:p>
        </w:tc>
      </w:tr>
      <w:tr w:rsidR="00311410" w:rsidRPr="00311410" w:rsidTr="00311410">
        <w:tc>
          <w:tcPr>
            <w:tcW w:w="3794" w:type="dxa"/>
          </w:tcPr>
          <w:p w:rsidR="00311410" w:rsidRPr="00311410" w:rsidRDefault="00311410" w:rsidP="00F31D24">
            <w:pPr>
              <w:jc w:val="both"/>
            </w:pPr>
            <w:r w:rsidRPr="00311410">
              <w:t>Sécurité</w:t>
            </w:r>
          </w:p>
        </w:tc>
        <w:tc>
          <w:tcPr>
            <w:tcW w:w="1354" w:type="dxa"/>
          </w:tcPr>
          <w:p w:rsidR="00311410" w:rsidRPr="00311410" w:rsidRDefault="00311410" w:rsidP="00311410">
            <w:pPr>
              <w:jc w:val="center"/>
            </w:pPr>
            <w:r w:rsidRPr="00311410">
              <w:t>30</w:t>
            </w:r>
          </w:p>
        </w:tc>
        <w:tc>
          <w:tcPr>
            <w:tcW w:w="1355" w:type="dxa"/>
          </w:tcPr>
          <w:p w:rsidR="00311410" w:rsidRPr="00311410" w:rsidRDefault="00311410" w:rsidP="00311410">
            <w:pPr>
              <w:jc w:val="center"/>
            </w:pPr>
            <w:r w:rsidRPr="00311410">
              <w:t>30</w:t>
            </w:r>
          </w:p>
        </w:tc>
        <w:tc>
          <w:tcPr>
            <w:tcW w:w="1354" w:type="dxa"/>
          </w:tcPr>
          <w:p w:rsidR="00311410" w:rsidRPr="00311410" w:rsidRDefault="00311410" w:rsidP="00311410">
            <w:pPr>
              <w:jc w:val="center"/>
            </w:pPr>
            <w:r w:rsidRPr="00311410">
              <w:t>30</w:t>
            </w:r>
          </w:p>
        </w:tc>
        <w:tc>
          <w:tcPr>
            <w:tcW w:w="1355" w:type="dxa"/>
          </w:tcPr>
          <w:p w:rsidR="00311410" w:rsidRPr="00311410" w:rsidRDefault="00311410" w:rsidP="00311410">
            <w:pPr>
              <w:jc w:val="center"/>
            </w:pPr>
            <w:r w:rsidRPr="00311410">
              <w:t>30</w:t>
            </w:r>
          </w:p>
        </w:tc>
      </w:tr>
      <w:tr w:rsidR="00311410" w:rsidRPr="00311410" w:rsidTr="00311410">
        <w:tc>
          <w:tcPr>
            <w:tcW w:w="3794" w:type="dxa"/>
          </w:tcPr>
          <w:p w:rsidR="00311410" w:rsidRPr="00311410" w:rsidRDefault="00311410" w:rsidP="00F31D24">
            <w:pPr>
              <w:jc w:val="both"/>
            </w:pPr>
            <w:r w:rsidRPr="00311410">
              <w:t>Primes linguistiques</w:t>
            </w:r>
          </w:p>
        </w:tc>
        <w:tc>
          <w:tcPr>
            <w:tcW w:w="1354" w:type="dxa"/>
          </w:tcPr>
          <w:p w:rsidR="00311410" w:rsidRPr="00311410" w:rsidRDefault="00311410" w:rsidP="00311410">
            <w:pPr>
              <w:jc w:val="center"/>
            </w:pPr>
            <w:r>
              <w:t>25</w:t>
            </w:r>
          </w:p>
        </w:tc>
        <w:tc>
          <w:tcPr>
            <w:tcW w:w="1355" w:type="dxa"/>
          </w:tcPr>
          <w:p w:rsidR="00311410" w:rsidRPr="00311410" w:rsidRDefault="00311410" w:rsidP="00311410">
            <w:pPr>
              <w:jc w:val="center"/>
            </w:pPr>
            <w:r>
              <w:t>26</w:t>
            </w:r>
          </w:p>
        </w:tc>
        <w:tc>
          <w:tcPr>
            <w:tcW w:w="1354" w:type="dxa"/>
          </w:tcPr>
          <w:p w:rsidR="00311410" w:rsidRPr="00311410" w:rsidRDefault="00311410" w:rsidP="00311410">
            <w:pPr>
              <w:jc w:val="center"/>
            </w:pPr>
            <w:r>
              <w:t>27</w:t>
            </w:r>
          </w:p>
        </w:tc>
        <w:tc>
          <w:tcPr>
            <w:tcW w:w="1355" w:type="dxa"/>
          </w:tcPr>
          <w:p w:rsidR="00311410" w:rsidRPr="00311410" w:rsidRDefault="00311410" w:rsidP="00311410">
            <w:pPr>
              <w:jc w:val="center"/>
            </w:pPr>
            <w:r>
              <w:t>28</w:t>
            </w:r>
          </w:p>
        </w:tc>
      </w:tr>
      <w:tr w:rsidR="00311410" w:rsidRPr="00311410" w:rsidTr="00311410">
        <w:tc>
          <w:tcPr>
            <w:tcW w:w="3794" w:type="dxa"/>
          </w:tcPr>
          <w:p w:rsidR="00311410" w:rsidRPr="00311410" w:rsidRDefault="00311410" w:rsidP="00F31D24">
            <w:pPr>
              <w:jc w:val="both"/>
            </w:pPr>
            <w:r w:rsidRPr="00311410">
              <w:t>Dotation Mobilité</w:t>
            </w:r>
          </w:p>
        </w:tc>
        <w:tc>
          <w:tcPr>
            <w:tcW w:w="1354" w:type="dxa"/>
          </w:tcPr>
          <w:p w:rsidR="00311410" w:rsidRPr="00311410" w:rsidRDefault="00311410" w:rsidP="00311410">
            <w:pPr>
              <w:jc w:val="center"/>
            </w:pPr>
            <w:r>
              <w:t>45</w:t>
            </w:r>
          </w:p>
        </w:tc>
        <w:tc>
          <w:tcPr>
            <w:tcW w:w="1355" w:type="dxa"/>
          </w:tcPr>
          <w:p w:rsidR="00311410" w:rsidRPr="00311410" w:rsidRDefault="00311410" w:rsidP="00311410">
            <w:pPr>
              <w:jc w:val="center"/>
            </w:pPr>
            <w:r>
              <w:t>75</w:t>
            </w:r>
          </w:p>
        </w:tc>
        <w:tc>
          <w:tcPr>
            <w:tcW w:w="1354" w:type="dxa"/>
          </w:tcPr>
          <w:p w:rsidR="00311410" w:rsidRPr="00311410" w:rsidRDefault="00311410" w:rsidP="00311410">
            <w:pPr>
              <w:jc w:val="center"/>
            </w:pPr>
            <w:r>
              <w:t>105</w:t>
            </w:r>
          </w:p>
        </w:tc>
        <w:tc>
          <w:tcPr>
            <w:tcW w:w="1355" w:type="dxa"/>
          </w:tcPr>
          <w:p w:rsidR="00311410" w:rsidRPr="00311410" w:rsidRDefault="00311410" w:rsidP="00311410">
            <w:pPr>
              <w:jc w:val="center"/>
            </w:pPr>
            <w:r>
              <w:t>135</w:t>
            </w:r>
          </w:p>
        </w:tc>
      </w:tr>
      <w:tr w:rsidR="00311410" w:rsidRPr="00311410" w:rsidTr="00311410">
        <w:tc>
          <w:tcPr>
            <w:tcW w:w="3794" w:type="dxa"/>
          </w:tcPr>
          <w:p w:rsidR="00311410" w:rsidRPr="00311410" w:rsidRDefault="00311410" w:rsidP="00F31D24">
            <w:pPr>
              <w:jc w:val="both"/>
            </w:pPr>
            <w:r>
              <w:t>Dotation vers COCOF et VGC</w:t>
            </w:r>
          </w:p>
        </w:tc>
        <w:tc>
          <w:tcPr>
            <w:tcW w:w="1354" w:type="dxa"/>
          </w:tcPr>
          <w:p w:rsidR="00311410" w:rsidRPr="00311410" w:rsidRDefault="00311410" w:rsidP="00311410">
            <w:pPr>
              <w:jc w:val="center"/>
            </w:pPr>
            <w:r>
              <w:t>10</w:t>
            </w:r>
          </w:p>
        </w:tc>
        <w:tc>
          <w:tcPr>
            <w:tcW w:w="1355" w:type="dxa"/>
          </w:tcPr>
          <w:p w:rsidR="00311410" w:rsidRPr="00311410" w:rsidRDefault="00311410" w:rsidP="00311410">
            <w:pPr>
              <w:jc w:val="center"/>
            </w:pPr>
            <w:r>
              <w:t>20</w:t>
            </w:r>
          </w:p>
        </w:tc>
        <w:tc>
          <w:tcPr>
            <w:tcW w:w="1354" w:type="dxa"/>
          </w:tcPr>
          <w:p w:rsidR="00311410" w:rsidRPr="00311410" w:rsidRDefault="00311410" w:rsidP="00311410">
            <w:pPr>
              <w:jc w:val="center"/>
            </w:pPr>
            <w:r>
              <w:t>30</w:t>
            </w:r>
          </w:p>
        </w:tc>
        <w:tc>
          <w:tcPr>
            <w:tcW w:w="1355" w:type="dxa"/>
          </w:tcPr>
          <w:p w:rsidR="00311410" w:rsidRPr="00311410" w:rsidRDefault="00311410" w:rsidP="00311410">
            <w:pPr>
              <w:jc w:val="center"/>
            </w:pPr>
            <w:r>
              <w:t>40</w:t>
            </w:r>
          </w:p>
        </w:tc>
      </w:tr>
      <w:tr w:rsidR="00311410" w:rsidTr="00311410">
        <w:tc>
          <w:tcPr>
            <w:tcW w:w="3794" w:type="dxa"/>
          </w:tcPr>
          <w:p w:rsidR="00311410" w:rsidRDefault="00316132" w:rsidP="00F31D24">
            <w:pPr>
              <w:jc w:val="both"/>
              <w:rPr>
                <w:b/>
              </w:rPr>
            </w:pPr>
            <w:r>
              <w:rPr>
                <w:b/>
              </w:rPr>
              <w:t>Total moyens affectés</w:t>
            </w:r>
          </w:p>
        </w:tc>
        <w:tc>
          <w:tcPr>
            <w:tcW w:w="1354" w:type="dxa"/>
          </w:tcPr>
          <w:p w:rsidR="00311410" w:rsidRDefault="00316132" w:rsidP="00311410">
            <w:pPr>
              <w:jc w:val="center"/>
              <w:rPr>
                <w:b/>
              </w:rPr>
            </w:pPr>
            <w:r>
              <w:rPr>
                <w:b/>
              </w:rPr>
              <w:t>110</w:t>
            </w:r>
          </w:p>
        </w:tc>
        <w:tc>
          <w:tcPr>
            <w:tcW w:w="1355" w:type="dxa"/>
          </w:tcPr>
          <w:p w:rsidR="00311410" w:rsidRDefault="00316132" w:rsidP="00311410">
            <w:pPr>
              <w:jc w:val="center"/>
              <w:rPr>
                <w:b/>
              </w:rPr>
            </w:pPr>
            <w:r>
              <w:rPr>
                <w:b/>
              </w:rPr>
              <w:t>151</w:t>
            </w:r>
          </w:p>
        </w:tc>
        <w:tc>
          <w:tcPr>
            <w:tcW w:w="1354" w:type="dxa"/>
          </w:tcPr>
          <w:p w:rsidR="00311410" w:rsidRDefault="00316132" w:rsidP="00311410">
            <w:pPr>
              <w:jc w:val="center"/>
              <w:rPr>
                <w:b/>
              </w:rPr>
            </w:pPr>
            <w:r>
              <w:rPr>
                <w:b/>
              </w:rPr>
              <w:t>192</w:t>
            </w:r>
          </w:p>
        </w:tc>
        <w:tc>
          <w:tcPr>
            <w:tcW w:w="1355" w:type="dxa"/>
          </w:tcPr>
          <w:p w:rsidR="00311410" w:rsidRDefault="00316132" w:rsidP="00311410">
            <w:pPr>
              <w:jc w:val="center"/>
              <w:rPr>
                <w:b/>
              </w:rPr>
            </w:pPr>
            <w:r>
              <w:rPr>
                <w:b/>
              </w:rPr>
              <w:t>233</w:t>
            </w:r>
          </w:p>
        </w:tc>
      </w:tr>
      <w:tr w:rsidR="00316132" w:rsidTr="002B57EE">
        <w:tc>
          <w:tcPr>
            <w:tcW w:w="9212" w:type="dxa"/>
            <w:gridSpan w:val="5"/>
          </w:tcPr>
          <w:p w:rsidR="00316132" w:rsidRDefault="00316132" w:rsidP="00316132">
            <w:pPr>
              <w:jc w:val="center"/>
              <w:rPr>
                <w:b/>
              </w:rPr>
            </w:pPr>
            <w:r>
              <w:rPr>
                <w:b/>
              </w:rPr>
              <w:t>Montants non affectés</w:t>
            </w:r>
          </w:p>
        </w:tc>
      </w:tr>
      <w:tr w:rsidR="00311410" w:rsidRPr="00316132" w:rsidTr="00311410">
        <w:tc>
          <w:tcPr>
            <w:tcW w:w="3794" w:type="dxa"/>
          </w:tcPr>
          <w:p w:rsidR="00311410" w:rsidRPr="00316132" w:rsidRDefault="00316132" w:rsidP="00F31D24">
            <w:pPr>
              <w:jc w:val="both"/>
            </w:pPr>
            <w:r w:rsidRPr="00316132">
              <w:t>Mainmorte</w:t>
            </w:r>
          </w:p>
        </w:tc>
        <w:tc>
          <w:tcPr>
            <w:tcW w:w="1354" w:type="dxa"/>
          </w:tcPr>
          <w:p w:rsidR="00311410" w:rsidRPr="00316132" w:rsidRDefault="00316132" w:rsidP="00316132">
            <w:pPr>
              <w:jc w:val="center"/>
            </w:pPr>
            <w:r w:rsidRPr="00316132">
              <w:t>24</w:t>
            </w:r>
          </w:p>
        </w:tc>
        <w:tc>
          <w:tcPr>
            <w:tcW w:w="1355" w:type="dxa"/>
          </w:tcPr>
          <w:p w:rsidR="00311410" w:rsidRPr="00316132" w:rsidRDefault="00316132" w:rsidP="00316132">
            <w:pPr>
              <w:jc w:val="center"/>
            </w:pPr>
            <w:r w:rsidRPr="00316132">
              <w:t>24</w:t>
            </w:r>
          </w:p>
        </w:tc>
        <w:tc>
          <w:tcPr>
            <w:tcW w:w="1354" w:type="dxa"/>
          </w:tcPr>
          <w:p w:rsidR="00311410" w:rsidRPr="00316132" w:rsidRDefault="00316132" w:rsidP="00316132">
            <w:pPr>
              <w:jc w:val="center"/>
            </w:pPr>
            <w:r w:rsidRPr="00316132">
              <w:t>25</w:t>
            </w:r>
          </w:p>
        </w:tc>
        <w:tc>
          <w:tcPr>
            <w:tcW w:w="1355" w:type="dxa"/>
          </w:tcPr>
          <w:p w:rsidR="00311410" w:rsidRPr="00316132" w:rsidRDefault="00316132" w:rsidP="00316132">
            <w:pPr>
              <w:jc w:val="center"/>
            </w:pPr>
            <w:r w:rsidRPr="00316132">
              <w:t>25</w:t>
            </w:r>
          </w:p>
        </w:tc>
      </w:tr>
      <w:tr w:rsidR="00316132" w:rsidTr="00311410">
        <w:tc>
          <w:tcPr>
            <w:tcW w:w="3794" w:type="dxa"/>
          </w:tcPr>
          <w:p w:rsidR="00316132" w:rsidRDefault="00316132" w:rsidP="002B57EE">
            <w:pPr>
              <w:jc w:val="both"/>
              <w:rPr>
                <w:b/>
              </w:rPr>
            </w:pPr>
            <w:r>
              <w:rPr>
                <w:b/>
              </w:rPr>
              <w:t>Total moyens non affectés</w:t>
            </w:r>
          </w:p>
        </w:tc>
        <w:tc>
          <w:tcPr>
            <w:tcW w:w="1354" w:type="dxa"/>
          </w:tcPr>
          <w:p w:rsidR="00316132" w:rsidRDefault="00316132" w:rsidP="00316132">
            <w:pPr>
              <w:jc w:val="center"/>
              <w:rPr>
                <w:b/>
              </w:rPr>
            </w:pPr>
            <w:r>
              <w:rPr>
                <w:b/>
              </w:rPr>
              <w:t>24</w:t>
            </w:r>
          </w:p>
        </w:tc>
        <w:tc>
          <w:tcPr>
            <w:tcW w:w="1355" w:type="dxa"/>
          </w:tcPr>
          <w:p w:rsidR="00316132" w:rsidRDefault="00316132" w:rsidP="00316132">
            <w:pPr>
              <w:jc w:val="center"/>
              <w:rPr>
                <w:b/>
              </w:rPr>
            </w:pPr>
            <w:r>
              <w:rPr>
                <w:b/>
              </w:rPr>
              <w:t>24</w:t>
            </w:r>
          </w:p>
        </w:tc>
        <w:tc>
          <w:tcPr>
            <w:tcW w:w="1354" w:type="dxa"/>
          </w:tcPr>
          <w:p w:rsidR="00316132" w:rsidRDefault="00316132" w:rsidP="00316132">
            <w:pPr>
              <w:jc w:val="center"/>
              <w:rPr>
                <w:b/>
              </w:rPr>
            </w:pPr>
            <w:r>
              <w:rPr>
                <w:b/>
              </w:rPr>
              <w:t>25</w:t>
            </w:r>
          </w:p>
        </w:tc>
        <w:tc>
          <w:tcPr>
            <w:tcW w:w="1355" w:type="dxa"/>
          </w:tcPr>
          <w:p w:rsidR="00316132" w:rsidRDefault="00316132" w:rsidP="00316132">
            <w:pPr>
              <w:jc w:val="center"/>
              <w:rPr>
                <w:b/>
              </w:rPr>
            </w:pPr>
            <w:r>
              <w:rPr>
                <w:b/>
              </w:rPr>
              <w:t>25</w:t>
            </w:r>
          </w:p>
        </w:tc>
      </w:tr>
      <w:tr w:rsidR="00316132" w:rsidTr="00311410">
        <w:tc>
          <w:tcPr>
            <w:tcW w:w="3794" w:type="dxa"/>
          </w:tcPr>
          <w:p w:rsidR="00316132" w:rsidRDefault="00316132" w:rsidP="00F31D24">
            <w:pPr>
              <w:jc w:val="both"/>
              <w:rPr>
                <w:b/>
              </w:rPr>
            </w:pPr>
            <w:r>
              <w:rPr>
                <w:b/>
              </w:rPr>
              <w:t>TOTAL VOLET 1</w:t>
            </w:r>
          </w:p>
        </w:tc>
        <w:tc>
          <w:tcPr>
            <w:tcW w:w="1354" w:type="dxa"/>
          </w:tcPr>
          <w:p w:rsidR="00316132" w:rsidRDefault="00316132" w:rsidP="00316132">
            <w:pPr>
              <w:jc w:val="center"/>
              <w:rPr>
                <w:b/>
              </w:rPr>
            </w:pPr>
            <w:r>
              <w:rPr>
                <w:b/>
              </w:rPr>
              <w:t>134</w:t>
            </w:r>
          </w:p>
        </w:tc>
        <w:tc>
          <w:tcPr>
            <w:tcW w:w="1355" w:type="dxa"/>
          </w:tcPr>
          <w:p w:rsidR="00316132" w:rsidRDefault="00316132" w:rsidP="00316132">
            <w:pPr>
              <w:jc w:val="center"/>
              <w:rPr>
                <w:b/>
              </w:rPr>
            </w:pPr>
            <w:r>
              <w:rPr>
                <w:b/>
              </w:rPr>
              <w:t>175</w:t>
            </w:r>
          </w:p>
        </w:tc>
        <w:tc>
          <w:tcPr>
            <w:tcW w:w="1354" w:type="dxa"/>
          </w:tcPr>
          <w:p w:rsidR="00316132" w:rsidRDefault="00316132" w:rsidP="00316132">
            <w:pPr>
              <w:jc w:val="center"/>
              <w:rPr>
                <w:b/>
              </w:rPr>
            </w:pPr>
            <w:r>
              <w:rPr>
                <w:b/>
              </w:rPr>
              <w:t>217</w:t>
            </w:r>
          </w:p>
        </w:tc>
        <w:tc>
          <w:tcPr>
            <w:tcW w:w="1355" w:type="dxa"/>
          </w:tcPr>
          <w:p w:rsidR="00316132" w:rsidRDefault="00316132" w:rsidP="00316132">
            <w:pPr>
              <w:jc w:val="center"/>
              <w:rPr>
                <w:b/>
              </w:rPr>
            </w:pPr>
            <w:r>
              <w:rPr>
                <w:b/>
              </w:rPr>
              <w:t>258</w:t>
            </w:r>
          </w:p>
        </w:tc>
      </w:tr>
      <w:tr w:rsidR="00316132" w:rsidTr="00311410">
        <w:tc>
          <w:tcPr>
            <w:tcW w:w="3794" w:type="dxa"/>
          </w:tcPr>
          <w:p w:rsidR="00316132" w:rsidRDefault="00316132" w:rsidP="00F31D24">
            <w:pPr>
              <w:jc w:val="both"/>
              <w:rPr>
                <w:b/>
              </w:rPr>
            </w:pPr>
          </w:p>
        </w:tc>
        <w:tc>
          <w:tcPr>
            <w:tcW w:w="1354" w:type="dxa"/>
          </w:tcPr>
          <w:p w:rsidR="00316132" w:rsidRDefault="00316132" w:rsidP="00F31D24">
            <w:pPr>
              <w:jc w:val="both"/>
              <w:rPr>
                <w:b/>
              </w:rPr>
            </w:pPr>
          </w:p>
        </w:tc>
        <w:tc>
          <w:tcPr>
            <w:tcW w:w="1355" w:type="dxa"/>
          </w:tcPr>
          <w:p w:rsidR="00316132" w:rsidRDefault="00316132" w:rsidP="00F31D24">
            <w:pPr>
              <w:jc w:val="both"/>
              <w:rPr>
                <w:b/>
              </w:rPr>
            </w:pPr>
          </w:p>
        </w:tc>
        <w:tc>
          <w:tcPr>
            <w:tcW w:w="1354" w:type="dxa"/>
          </w:tcPr>
          <w:p w:rsidR="00316132" w:rsidRDefault="00316132" w:rsidP="00F31D24">
            <w:pPr>
              <w:jc w:val="both"/>
              <w:rPr>
                <w:b/>
              </w:rPr>
            </w:pPr>
          </w:p>
        </w:tc>
        <w:tc>
          <w:tcPr>
            <w:tcW w:w="1355" w:type="dxa"/>
          </w:tcPr>
          <w:p w:rsidR="00316132" w:rsidRDefault="00316132" w:rsidP="00F31D24">
            <w:pPr>
              <w:jc w:val="both"/>
              <w:rPr>
                <w:b/>
              </w:rPr>
            </w:pPr>
          </w:p>
        </w:tc>
      </w:tr>
      <w:tr w:rsidR="00316132" w:rsidTr="002B57EE">
        <w:tc>
          <w:tcPr>
            <w:tcW w:w="9212" w:type="dxa"/>
            <w:gridSpan w:val="5"/>
          </w:tcPr>
          <w:p w:rsidR="00316132" w:rsidRDefault="00316132" w:rsidP="00316132">
            <w:pPr>
              <w:jc w:val="center"/>
              <w:rPr>
                <w:b/>
              </w:rPr>
            </w:pPr>
            <w:r>
              <w:rPr>
                <w:b/>
              </w:rPr>
              <w:t>2</w:t>
            </w:r>
            <w:r w:rsidRPr="00316132">
              <w:rPr>
                <w:b/>
                <w:vertAlign w:val="superscript"/>
              </w:rPr>
              <w:t>ième</w:t>
            </w:r>
            <w:r>
              <w:rPr>
                <w:b/>
              </w:rPr>
              <w:t xml:space="preserve"> volet – montants non affectés</w:t>
            </w:r>
          </w:p>
        </w:tc>
      </w:tr>
      <w:tr w:rsidR="00316132" w:rsidRPr="00316132" w:rsidTr="00311410">
        <w:tc>
          <w:tcPr>
            <w:tcW w:w="3794" w:type="dxa"/>
          </w:tcPr>
          <w:p w:rsidR="00316132" w:rsidRPr="00316132" w:rsidRDefault="00316132" w:rsidP="00F31D24">
            <w:pPr>
              <w:jc w:val="both"/>
            </w:pPr>
            <w:r w:rsidRPr="00316132">
              <w:t>Dotation navetteurs</w:t>
            </w:r>
          </w:p>
        </w:tc>
        <w:tc>
          <w:tcPr>
            <w:tcW w:w="1354" w:type="dxa"/>
          </w:tcPr>
          <w:p w:rsidR="00316132" w:rsidRPr="00316132" w:rsidRDefault="00316132" w:rsidP="00316132">
            <w:pPr>
              <w:jc w:val="center"/>
            </w:pPr>
          </w:p>
        </w:tc>
        <w:tc>
          <w:tcPr>
            <w:tcW w:w="1355" w:type="dxa"/>
          </w:tcPr>
          <w:p w:rsidR="00316132" w:rsidRPr="00316132" w:rsidRDefault="00316132" w:rsidP="00316132">
            <w:pPr>
              <w:jc w:val="center"/>
            </w:pPr>
            <w:r>
              <w:t>13</w:t>
            </w:r>
          </w:p>
        </w:tc>
        <w:tc>
          <w:tcPr>
            <w:tcW w:w="1354" w:type="dxa"/>
          </w:tcPr>
          <w:p w:rsidR="00316132" w:rsidRPr="00316132" w:rsidRDefault="00316132" w:rsidP="00316132">
            <w:pPr>
              <w:jc w:val="center"/>
            </w:pPr>
            <w:r>
              <w:t>28</w:t>
            </w:r>
          </w:p>
        </w:tc>
        <w:tc>
          <w:tcPr>
            <w:tcW w:w="1355" w:type="dxa"/>
          </w:tcPr>
          <w:p w:rsidR="00316132" w:rsidRPr="00316132" w:rsidRDefault="00316132" w:rsidP="00316132">
            <w:pPr>
              <w:jc w:val="center"/>
            </w:pPr>
            <w:r>
              <w:t>44</w:t>
            </w:r>
          </w:p>
        </w:tc>
      </w:tr>
      <w:tr w:rsidR="00316132" w:rsidTr="00311410">
        <w:tc>
          <w:tcPr>
            <w:tcW w:w="3794" w:type="dxa"/>
          </w:tcPr>
          <w:p w:rsidR="00316132" w:rsidRPr="00316132" w:rsidRDefault="00316132" w:rsidP="00F31D24">
            <w:pPr>
              <w:jc w:val="both"/>
            </w:pPr>
            <w:r w:rsidRPr="00316132">
              <w:t>Dotation fonctionnaires internationaux</w:t>
            </w:r>
          </w:p>
        </w:tc>
        <w:tc>
          <w:tcPr>
            <w:tcW w:w="1354" w:type="dxa"/>
          </w:tcPr>
          <w:p w:rsidR="00316132" w:rsidRPr="00316132" w:rsidRDefault="00316132" w:rsidP="00316132">
            <w:pPr>
              <w:jc w:val="center"/>
            </w:pPr>
          </w:p>
        </w:tc>
        <w:tc>
          <w:tcPr>
            <w:tcW w:w="1355" w:type="dxa"/>
          </w:tcPr>
          <w:p w:rsidR="00316132" w:rsidRPr="00316132" w:rsidRDefault="00316132" w:rsidP="00316132">
            <w:pPr>
              <w:jc w:val="center"/>
            </w:pPr>
            <w:r w:rsidRPr="00316132">
              <w:t>48</w:t>
            </w:r>
          </w:p>
        </w:tc>
        <w:tc>
          <w:tcPr>
            <w:tcW w:w="1354" w:type="dxa"/>
          </w:tcPr>
          <w:p w:rsidR="00316132" w:rsidRPr="00316132" w:rsidRDefault="00316132" w:rsidP="00316132">
            <w:pPr>
              <w:jc w:val="center"/>
            </w:pPr>
            <w:r w:rsidRPr="00316132">
              <w:t>101</w:t>
            </w:r>
          </w:p>
        </w:tc>
        <w:tc>
          <w:tcPr>
            <w:tcW w:w="1355" w:type="dxa"/>
          </w:tcPr>
          <w:p w:rsidR="00316132" w:rsidRPr="00316132" w:rsidRDefault="00316132" w:rsidP="00316132">
            <w:pPr>
              <w:jc w:val="center"/>
            </w:pPr>
            <w:r w:rsidRPr="00316132">
              <w:t>159</w:t>
            </w:r>
          </w:p>
        </w:tc>
      </w:tr>
      <w:tr w:rsidR="00316132" w:rsidTr="00311410">
        <w:tc>
          <w:tcPr>
            <w:tcW w:w="3794" w:type="dxa"/>
          </w:tcPr>
          <w:p w:rsidR="00316132" w:rsidRDefault="00316132" w:rsidP="00316132">
            <w:pPr>
              <w:jc w:val="both"/>
              <w:rPr>
                <w:b/>
              </w:rPr>
            </w:pPr>
            <w:r>
              <w:rPr>
                <w:b/>
              </w:rPr>
              <w:t>TOTAL VOLET 2</w:t>
            </w:r>
          </w:p>
        </w:tc>
        <w:tc>
          <w:tcPr>
            <w:tcW w:w="1354" w:type="dxa"/>
          </w:tcPr>
          <w:p w:rsidR="00316132" w:rsidRDefault="00316132" w:rsidP="00316132">
            <w:pPr>
              <w:jc w:val="center"/>
              <w:rPr>
                <w:b/>
              </w:rPr>
            </w:pPr>
          </w:p>
        </w:tc>
        <w:tc>
          <w:tcPr>
            <w:tcW w:w="1355" w:type="dxa"/>
          </w:tcPr>
          <w:p w:rsidR="00316132" w:rsidRDefault="00316132" w:rsidP="00316132">
            <w:pPr>
              <w:jc w:val="center"/>
              <w:rPr>
                <w:b/>
              </w:rPr>
            </w:pPr>
            <w:r>
              <w:rPr>
                <w:b/>
              </w:rPr>
              <w:t>61</w:t>
            </w:r>
          </w:p>
        </w:tc>
        <w:tc>
          <w:tcPr>
            <w:tcW w:w="1354" w:type="dxa"/>
          </w:tcPr>
          <w:p w:rsidR="00316132" w:rsidRDefault="00316132" w:rsidP="00316132">
            <w:pPr>
              <w:jc w:val="center"/>
              <w:rPr>
                <w:b/>
              </w:rPr>
            </w:pPr>
            <w:r>
              <w:rPr>
                <w:b/>
              </w:rPr>
              <w:t>129</w:t>
            </w:r>
          </w:p>
        </w:tc>
        <w:tc>
          <w:tcPr>
            <w:tcW w:w="1355" w:type="dxa"/>
          </w:tcPr>
          <w:p w:rsidR="00316132" w:rsidRDefault="00316132" w:rsidP="00316132">
            <w:pPr>
              <w:jc w:val="center"/>
              <w:rPr>
                <w:b/>
              </w:rPr>
            </w:pPr>
            <w:r>
              <w:rPr>
                <w:b/>
              </w:rPr>
              <w:t>203</w:t>
            </w:r>
          </w:p>
        </w:tc>
      </w:tr>
      <w:tr w:rsidR="00316132" w:rsidTr="00311410">
        <w:tc>
          <w:tcPr>
            <w:tcW w:w="3794" w:type="dxa"/>
          </w:tcPr>
          <w:p w:rsidR="00316132" w:rsidRDefault="00316132" w:rsidP="00F31D24">
            <w:pPr>
              <w:jc w:val="both"/>
              <w:rPr>
                <w:b/>
              </w:rPr>
            </w:pPr>
          </w:p>
        </w:tc>
        <w:tc>
          <w:tcPr>
            <w:tcW w:w="1354" w:type="dxa"/>
          </w:tcPr>
          <w:p w:rsidR="00316132" w:rsidRDefault="00316132" w:rsidP="00F31D24">
            <w:pPr>
              <w:jc w:val="both"/>
              <w:rPr>
                <w:b/>
              </w:rPr>
            </w:pPr>
          </w:p>
        </w:tc>
        <w:tc>
          <w:tcPr>
            <w:tcW w:w="1355" w:type="dxa"/>
          </w:tcPr>
          <w:p w:rsidR="00316132" w:rsidRDefault="00316132" w:rsidP="00F31D24">
            <w:pPr>
              <w:jc w:val="both"/>
              <w:rPr>
                <w:b/>
              </w:rPr>
            </w:pPr>
          </w:p>
        </w:tc>
        <w:tc>
          <w:tcPr>
            <w:tcW w:w="1354" w:type="dxa"/>
          </w:tcPr>
          <w:p w:rsidR="00316132" w:rsidRDefault="00316132" w:rsidP="00F31D24">
            <w:pPr>
              <w:jc w:val="both"/>
              <w:rPr>
                <w:b/>
              </w:rPr>
            </w:pPr>
          </w:p>
        </w:tc>
        <w:tc>
          <w:tcPr>
            <w:tcW w:w="1355" w:type="dxa"/>
          </w:tcPr>
          <w:p w:rsidR="00316132" w:rsidRDefault="00316132" w:rsidP="00F31D24">
            <w:pPr>
              <w:jc w:val="both"/>
              <w:rPr>
                <w:b/>
              </w:rPr>
            </w:pPr>
          </w:p>
        </w:tc>
      </w:tr>
      <w:tr w:rsidR="00316132" w:rsidTr="00311410">
        <w:tc>
          <w:tcPr>
            <w:tcW w:w="3794" w:type="dxa"/>
          </w:tcPr>
          <w:p w:rsidR="00316132" w:rsidRDefault="00316132" w:rsidP="00F31D24">
            <w:pPr>
              <w:jc w:val="both"/>
              <w:rPr>
                <w:b/>
              </w:rPr>
            </w:pPr>
            <w:r>
              <w:rPr>
                <w:b/>
              </w:rPr>
              <w:t>TOTAL GENERAL</w:t>
            </w:r>
          </w:p>
        </w:tc>
        <w:tc>
          <w:tcPr>
            <w:tcW w:w="1354" w:type="dxa"/>
          </w:tcPr>
          <w:p w:rsidR="00316132" w:rsidRDefault="00316132" w:rsidP="003A6E5A">
            <w:pPr>
              <w:jc w:val="center"/>
              <w:rPr>
                <w:b/>
              </w:rPr>
            </w:pPr>
            <w:r>
              <w:rPr>
                <w:b/>
              </w:rPr>
              <w:t>134</w:t>
            </w:r>
          </w:p>
        </w:tc>
        <w:tc>
          <w:tcPr>
            <w:tcW w:w="1355" w:type="dxa"/>
          </w:tcPr>
          <w:p w:rsidR="00316132" w:rsidRDefault="003A6E5A" w:rsidP="003A6E5A">
            <w:pPr>
              <w:jc w:val="center"/>
              <w:rPr>
                <w:b/>
              </w:rPr>
            </w:pPr>
            <w:r>
              <w:rPr>
                <w:b/>
              </w:rPr>
              <w:t>236</w:t>
            </w:r>
          </w:p>
        </w:tc>
        <w:tc>
          <w:tcPr>
            <w:tcW w:w="1354" w:type="dxa"/>
          </w:tcPr>
          <w:p w:rsidR="00316132" w:rsidRDefault="003A6E5A" w:rsidP="003A6E5A">
            <w:pPr>
              <w:jc w:val="center"/>
              <w:rPr>
                <w:b/>
              </w:rPr>
            </w:pPr>
            <w:r>
              <w:rPr>
                <w:b/>
              </w:rPr>
              <w:t>344</w:t>
            </w:r>
          </w:p>
        </w:tc>
        <w:tc>
          <w:tcPr>
            <w:tcW w:w="1355" w:type="dxa"/>
          </w:tcPr>
          <w:p w:rsidR="00316132" w:rsidRDefault="003A6E5A" w:rsidP="003A6E5A">
            <w:pPr>
              <w:jc w:val="center"/>
              <w:rPr>
                <w:b/>
              </w:rPr>
            </w:pPr>
            <w:r>
              <w:rPr>
                <w:b/>
              </w:rPr>
              <w:t>461</w:t>
            </w:r>
          </w:p>
        </w:tc>
      </w:tr>
    </w:tbl>
    <w:p w:rsidR="00AF06E1" w:rsidRPr="003A6E5A" w:rsidRDefault="003A6E5A" w:rsidP="00F31D24">
      <w:pPr>
        <w:jc w:val="both"/>
        <w:rPr>
          <w:sz w:val="16"/>
          <w:szCs w:val="16"/>
        </w:rPr>
      </w:pPr>
      <w:r w:rsidRPr="003A6E5A">
        <w:rPr>
          <w:sz w:val="16"/>
          <w:szCs w:val="16"/>
        </w:rPr>
        <w:t>Source :</w:t>
      </w:r>
      <w:r>
        <w:rPr>
          <w:sz w:val="16"/>
          <w:szCs w:val="16"/>
        </w:rPr>
        <w:t xml:space="preserve"> Itinera Institue Discussion Paper 2012/8 Benoît BAYENET : La 6</w:t>
      </w:r>
      <w:r w:rsidRPr="003A6E5A">
        <w:rPr>
          <w:sz w:val="16"/>
          <w:szCs w:val="16"/>
          <w:vertAlign w:val="superscript"/>
        </w:rPr>
        <w:t>ième</w:t>
      </w:r>
      <w:r>
        <w:rPr>
          <w:sz w:val="16"/>
          <w:szCs w:val="16"/>
        </w:rPr>
        <w:t xml:space="preserve"> réforme de l’Etat et le financement des entités fédérées.</w:t>
      </w:r>
    </w:p>
    <w:p w:rsidR="00AF06E1" w:rsidRPr="003A6E5A" w:rsidRDefault="003A6E5A" w:rsidP="003A6E5A">
      <w:pPr>
        <w:spacing w:line="240" w:lineRule="auto"/>
        <w:jc w:val="both"/>
      </w:pPr>
      <w:r w:rsidRPr="003A6E5A">
        <w:lastRenderedPageBreak/>
        <w:t>A partir de</w:t>
      </w:r>
      <w:r>
        <w:t xml:space="preserve"> 2015, à plein régime, la Région bruxelloise disposera de moyens financiers non affectés supplémentaires de 228 millions € dont elle aura bien besoin pour réduire sa propre dette et éventuellement développer l’un ou l’autre programme en faveur des pouvoirs locaux. Mais en aucun cas, ces derniers ne peuvent s’attendre de la part de la Région à des interventions financières massives.</w:t>
      </w:r>
    </w:p>
    <w:p w:rsidR="00F6155E" w:rsidRDefault="00F6155E" w:rsidP="003A6E5A">
      <w:pPr>
        <w:spacing w:line="240" w:lineRule="auto"/>
        <w:jc w:val="both"/>
      </w:pPr>
      <w:r w:rsidRPr="00F6155E">
        <w:t xml:space="preserve">Notons </w:t>
      </w:r>
      <w:r>
        <w:t xml:space="preserve">que ces 461 millions € (à partir de 2015) correspondent grosso modo aux résultats d’une étude menée fin des années 90 sous l’égide du Ministre Rufin Grijp, étude ayant sommé les manques à gagner </w:t>
      </w:r>
      <w:r w:rsidR="00A45D38">
        <w:t xml:space="preserve">et les surcoûts </w:t>
      </w:r>
      <w:r>
        <w:t xml:space="preserve">subis par la Région de Bruxelles-Capitale en raison de ses particularités de Région et </w:t>
      </w:r>
      <w:r w:rsidR="00240B34">
        <w:t xml:space="preserve">de </w:t>
      </w:r>
      <w:r>
        <w:t xml:space="preserve">son </w:t>
      </w:r>
      <w:r w:rsidR="00A45D38">
        <w:t xml:space="preserve">double </w:t>
      </w:r>
      <w:r>
        <w:t>statut de capitale nationale et internationale.</w:t>
      </w:r>
    </w:p>
    <w:p w:rsidR="006A0250" w:rsidRDefault="00937C5B" w:rsidP="003A6E5A">
      <w:pPr>
        <w:spacing w:line="240" w:lineRule="auto"/>
        <w:jc w:val="both"/>
      </w:pPr>
      <w:r>
        <w:t xml:space="preserve">Mais ces 461 millions € restent bien inférieurs aux 720 millions € des surcoûts, manques à gagner, compensations et avantages financiers touchant </w:t>
      </w:r>
      <w:r w:rsidR="00A02C2C">
        <w:t xml:space="preserve">selon d’autres études </w:t>
      </w:r>
      <w:r>
        <w:t>la Région de Bruxelles-Capitale.</w:t>
      </w:r>
      <w:r>
        <w:rPr>
          <w:rStyle w:val="Appelnotedebasdep"/>
        </w:rPr>
        <w:footnoteReference w:id="4"/>
      </w:r>
    </w:p>
    <w:p w:rsidR="00AF06E1" w:rsidRDefault="00F6155E" w:rsidP="00A02C2C">
      <w:pPr>
        <w:spacing w:line="240" w:lineRule="auto"/>
        <w:jc w:val="both"/>
      </w:pPr>
      <w:r>
        <w:t>Et rappelons enfin que la 6</w:t>
      </w:r>
      <w:r w:rsidRPr="00F6155E">
        <w:rPr>
          <w:vertAlign w:val="superscript"/>
        </w:rPr>
        <w:t>ème</w:t>
      </w:r>
      <w:r>
        <w:t xml:space="preserve"> réforme </w:t>
      </w:r>
      <w:r w:rsidR="00CB3816">
        <w:t>institutionnelle</w:t>
      </w:r>
      <w:r>
        <w:t xml:space="preserve"> fera disparaître à terme l’intervention de solidarité nationale </w:t>
      </w:r>
      <w:r w:rsidR="00CB3816">
        <w:t xml:space="preserve">qui s’est élevée </w:t>
      </w:r>
      <w:r w:rsidR="00A41BEF">
        <w:t xml:space="preserve">à 381 millions € en 2012, s’élèvera à 456 millions € en </w:t>
      </w:r>
      <w:r w:rsidR="00CB3816">
        <w:t xml:space="preserve">2013 </w:t>
      </w:r>
      <w:r w:rsidR="00A41BEF">
        <w:t xml:space="preserve">(estimations) et </w:t>
      </w:r>
      <w:r w:rsidR="00CB3816">
        <w:t xml:space="preserve">à </w:t>
      </w:r>
      <w:r w:rsidR="00A41BEF">
        <w:t xml:space="preserve">433 millions </w:t>
      </w:r>
      <w:r w:rsidR="00CB3816">
        <w:t>€</w:t>
      </w:r>
      <w:r w:rsidR="00A41BEF">
        <w:t xml:space="preserve"> </w:t>
      </w:r>
      <w:r w:rsidR="00A02C2C">
        <w:t xml:space="preserve">en 2014 </w:t>
      </w:r>
      <w:r w:rsidR="00A41BEF">
        <w:t>(estimations)</w:t>
      </w:r>
      <w:r w:rsidR="00CB3816">
        <w:t xml:space="preserve"> en faveur de la Région de Bruxelles-Capitale.</w:t>
      </w:r>
    </w:p>
    <w:p w:rsidR="00452C70" w:rsidRDefault="00452C70" w:rsidP="00A02C2C">
      <w:pPr>
        <w:spacing w:line="240" w:lineRule="auto"/>
        <w:jc w:val="both"/>
      </w:pPr>
    </w:p>
    <w:p w:rsidR="00F31D24" w:rsidRPr="001B434B" w:rsidRDefault="00FC4A9E" w:rsidP="00452C70">
      <w:pPr>
        <w:pStyle w:val="Titre"/>
        <w:rPr>
          <w:sz w:val="36"/>
          <w:szCs w:val="36"/>
        </w:rPr>
      </w:pPr>
      <w:r w:rsidRPr="001B434B">
        <w:rPr>
          <w:sz w:val="36"/>
          <w:szCs w:val="36"/>
        </w:rPr>
        <w:t xml:space="preserve">6 </w:t>
      </w:r>
      <w:r w:rsidR="003A6E5A" w:rsidRPr="001B434B">
        <w:rPr>
          <w:sz w:val="36"/>
          <w:szCs w:val="36"/>
        </w:rPr>
        <w:t>Quelles p</w:t>
      </w:r>
      <w:r w:rsidR="00F31D24" w:rsidRPr="001B434B">
        <w:rPr>
          <w:sz w:val="36"/>
          <w:szCs w:val="36"/>
        </w:rPr>
        <w:t>erspectives financières</w:t>
      </w:r>
      <w:r w:rsidR="003A6E5A" w:rsidRPr="001B434B">
        <w:rPr>
          <w:sz w:val="36"/>
          <w:szCs w:val="36"/>
        </w:rPr>
        <w:t xml:space="preserve"> pour les communes bruxelloises ?</w:t>
      </w:r>
    </w:p>
    <w:p w:rsidR="00CB3816" w:rsidRDefault="00CB3816" w:rsidP="00A02C2C">
      <w:pPr>
        <w:spacing w:line="240" w:lineRule="auto"/>
        <w:jc w:val="both"/>
      </w:pPr>
      <w:r w:rsidRPr="00A41BEF">
        <w:t>Compte tenu de tous les éléments développés ci-dessus, les perspectives financières apparaissent  sombres tant pour les communes bruxelloises que pour la Région elle-même.</w:t>
      </w:r>
    </w:p>
    <w:p w:rsidR="007A58F8" w:rsidRPr="00A41BEF" w:rsidRDefault="007A58F8" w:rsidP="00A41BEF">
      <w:pPr>
        <w:spacing w:line="240" w:lineRule="auto"/>
        <w:jc w:val="both"/>
      </w:pPr>
      <w:r>
        <w:t>Malgré des interventions croissantes de la Région bruxelloise (+ 30 % entre 2006 et 2012) pour atteindre 425 millions € en 2012, neuf communes sont sous plan d’assainissement.</w:t>
      </w:r>
    </w:p>
    <w:p w:rsidR="00CB3816" w:rsidRDefault="00CB3816" w:rsidP="00A41BEF">
      <w:pPr>
        <w:spacing w:line="240" w:lineRule="auto"/>
        <w:jc w:val="both"/>
      </w:pPr>
      <w:r w:rsidRPr="00A41BEF">
        <w:t xml:space="preserve">Outre la </w:t>
      </w:r>
      <w:r w:rsidR="0090589A">
        <w:t xml:space="preserve">perte historique </w:t>
      </w:r>
      <w:r w:rsidRPr="00A41BEF">
        <w:t xml:space="preserve">subie lors de la régionalisation du Fonds des Communes, les pouvoirs locaux bruxellois sont pris en tenaille entre d’une part, une population en forte croissance,  en voie de paupérisation et de moins en moins contributive et d’autre part, des </w:t>
      </w:r>
      <w:r w:rsidR="00A45D38" w:rsidRPr="00A41BEF">
        <w:t xml:space="preserve">dépenses </w:t>
      </w:r>
      <w:r w:rsidRPr="00A41BEF">
        <w:t>croissant</w:t>
      </w:r>
      <w:r w:rsidR="00A45D38" w:rsidRPr="00A41BEF">
        <w:t>e</w:t>
      </w:r>
      <w:r w:rsidRPr="00A41BEF">
        <w:t>s en termes de coûts sociaux, de sécurité et de charges de dettes.</w:t>
      </w:r>
    </w:p>
    <w:p w:rsidR="0090589A" w:rsidRPr="00A41BEF" w:rsidRDefault="0090589A" w:rsidP="00A02C2C">
      <w:pPr>
        <w:spacing w:line="240" w:lineRule="auto"/>
        <w:jc w:val="both"/>
      </w:pPr>
      <w:r>
        <w:t xml:space="preserve">Comme leurs consœurs wallonnes et flamandes, les communes bruxelloises vont être confrontées à une charge de plus en plus lourde pour le financement des pensions de leurs agents statutaires. Des relèvements des taux de cotisation par l’ONSSAPL sont déjà intervenus et vont </w:t>
      </w:r>
      <w:r w:rsidR="00A02C2C">
        <w:t>se poursuivre</w:t>
      </w:r>
      <w:r>
        <w:t xml:space="preserve">. </w:t>
      </w:r>
    </w:p>
    <w:p w:rsidR="00CB3816" w:rsidRPr="00A41BEF" w:rsidRDefault="0090589A" w:rsidP="00A41BEF">
      <w:pPr>
        <w:spacing w:line="240" w:lineRule="auto"/>
        <w:jc w:val="both"/>
      </w:pPr>
      <w:r>
        <w:t>A</w:t>
      </w:r>
      <w:r w:rsidR="00CB3816" w:rsidRPr="00A41BEF">
        <w:t xml:space="preserve"> défaut d’être correctement financées, les Communes </w:t>
      </w:r>
      <w:r>
        <w:t xml:space="preserve">bruxelloises sont obligées de </w:t>
      </w:r>
      <w:r w:rsidR="00CB3816" w:rsidRPr="00A41BEF">
        <w:t xml:space="preserve">chercher plus de 50 % de leurs recettes dans la fiscalité (30 % </w:t>
      </w:r>
      <w:r>
        <w:t xml:space="preserve">pour </w:t>
      </w:r>
      <w:r w:rsidR="00CB3816" w:rsidRPr="00A41BEF">
        <w:t>les quatre grandes villes</w:t>
      </w:r>
      <w:r>
        <w:t xml:space="preserve"> – voir supra)</w:t>
      </w:r>
      <w:r w:rsidR="00CB3816" w:rsidRPr="00A41BEF">
        <w:t>).</w:t>
      </w:r>
    </w:p>
    <w:p w:rsidR="00CB3816" w:rsidRPr="00A41BEF" w:rsidRDefault="007A58F8" w:rsidP="00A41BEF">
      <w:pPr>
        <w:spacing w:line="240" w:lineRule="auto"/>
        <w:jc w:val="both"/>
      </w:pPr>
      <w:r>
        <w:t>L</w:t>
      </w:r>
      <w:r w:rsidR="00CB3816" w:rsidRPr="00A41BEF">
        <w:t xml:space="preserve">es Communes arrivent </w:t>
      </w:r>
      <w:r>
        <w:t xml:space="preserve">dès lors </w:t>
      </w:r>
      <w:r w:rsidR="00CB3816" w:rsidRPr="00A41BEF">
        <w:t>au bout du fiscalement supportables par la population et les agents économiques.</w:t>
      </w:r>
    </w:p>
    <w:p w:rsidR="00A45D38" w:rsidRPr="00A41BEF" w:rsidRDefault="00A45D38" w:rsidP="00A02C2C">
      <w:pPr>
        <w:spacing w:line="240" w:lineRule="auto"/>
        <w:jc w:val="both"/>
      </w:pPr>
      <w:r w:rsidRPr="00A41BEF">
        <w:t>Cette situation provient de la portion congrue réservée à la Région et aux communes bruxelloises en termes de financement lors des diverses réformes institutionnelles depuis 1970 et les lois de financement y afférentes.</w:t>
      </w:r>
      <w:r w:rsidR="00A02C2C">
        <w:t xml:space="preserve"> L</w:t>
      </w:r>
      <w:r w:rsidRPr="00A41BEF">
        <w:t>’Etat fédéral et les autres entités fédérées capte</w:t>
      </w:r>
      <w:r w:rsidR="00A02C2C">
        <w:t xml:space="preserve">nt une partie de </w:t>
      </w:r>
      <w:r w:rsidRPr="00A41BEF">
        <w:t xml:space="preserve">la richesse produite dans les 19 Communes sans assumer </w:t>
      </w:r>
      <w:r w:rsidR="00A02C2C">
        <w:t xml:space="preserve">tous </w:t>
      </w:r>
      <w:r w:rsidRPr="00A41BEF">
        <w:t>les coûts supportés par une population certes en croissance mais de plus en plus pauvre.</w:t>
      </w:r>
    </w:p>
    <w:p w:rsidR="00A41BEF" w:rsidRDefault="00116677" w:rsidP="00116677">
      <w:pPr>
        <w:spacing w:line="240" w:lineRule="auto"/>
        <w:jc w:val="both"/>
      </w:pPr>
      <w:r w:rsidRPr="00116677">
        <w:lastRenderedPageBreak/>
        <w:t>Dans le cadre de la 6</w:t>
      </w:r>
      <w:r w:rsidRPr="00116677">
        <w:rPr>
          <w:vertAlign w:val="superscript"/>
        </w:rPr>
        <w:t>ième</w:t>
      </w:r>
      <w:r w:rsidRPr="00116677">
        <w:t xml:space="preserve"> réforme de l’Etat, une fois la période de ‘transition’ de 10 ans terminée, à  défaut d’une forte augmentation de la capacité contributive de </w:t>
      </w:r>
      <w:r>
        <w:t>leurs habitants, tant la Région de Bruxelles-Capitale que les 19 Communes pourraient se retrouver avec des moyens financiers inférieurs à ceux dont elles disposaient avant la réforme.</w:t>
      </w:r>
      <w:r w:rsidR="00A02C2C">
        <w:t xml:space="preserve"> Réussir une politique qui ancre à Bruxelles des habitants à revenus moyens est un enjeu dès lors essentiel.</w:t>
      </w:r>
    </w:p>
    <w:p w:rsidR="00B862CB" w:rsidRPr="00A41BEF" w:rsidRDefault="00B862CB" w:rsidP="00A41BEF">
      <w:pPr>
        <w:spacing w:line="240" w:lineRule="auto"/>
        <w:jc w:val="both"/>
      </w:pPr>
      <w:r>
        <w:t>A défaut, les Communes bruxelloises devront encore réduire davantage leurs dépenses tant courantes que d’investissement, diminuant la quantité et la qualité des services rendus à leurs populations, dans un contexte contraint de hausse de la fiscalité locale.</w:t>
      </w:r>
    </w:p>
    <w:p w:rsidR="00240B34" w:rsidRDefault="00240B34" w:rsidP="00240B34">
      <w:pPr>
        <w:spacing w:after="120" w:line="240" w:lineRule="auto"/>
        <w:jc w:val="both"/>
        <w:rPr>
          <w:rFonts w:ascii="Times New Roman" w:eastAsia="Times New Roman" w:hAnsi="Times New Roman" w:cs="Times New Roman"/>
          <w:sz w:val="24"/>
          <w:szCs w:val="24"/>
          <w:lang w:eastAsia="fr-FR"/>
        </w:rPr>
      </w:pPr>
    </w:p>
    <w:p w:rsidR="00F54464" w:rsidRDefault="00F54464" w:rsidP="00240B34">
      <w:pPr>
        <w:spacing w:after="120" w:line="240" w:lineRule="auto"/>
        <w:jc w:val="both"/>
        <w:rPr>
          <w:rFonts w:ascii="Times New Roman" w:eastAsia="Times New Roman" w:hAnsi="Times New Roman" w:cs="Times New Roman"/>
          <w:sz w:val="24"/>
          <w:szCs w:val="24"/>
          <w:lang w:eastAsia="fr-FR"/>
        </w:rPr>
      </w:pPr>
    </w:p>
    <w:p w:rsidR="00F54464" w:rsidRDefault="00F54464" w:rsidP="00240B34">
      <w:pPr>
        <w:spacing w:after="120" w:line="240" w:lineRule="auto"/>
        <w:jc w:val="both"/>
        <w:rPr>
          <w:rFonts w:ascii="Times New Roman" w:eastAsia="Times New Roman" w:hAnsi="Times New Roman" w:cs="Times New Roman"/>
          <w:sz w:val="24"/>
          <w:szCs w:val="24"/>
          <w:lang w:eastAsia="fr-FR"/>
        </w:rPr>
      </w:pPr>
    </w:p>
    <w:p w:rsidR="00F54464" w:rsidRDefault="00F54464" w:rsidP="00240B34">
      <w:pPr>
        <w:spacing w:after="120" w:line="240" w:lineRule="auto"/>
        <w:jc w:val="both"/>
        <w:rPr>
          <w:rFonts w:ascii="Times New Roman" w:eastAsia="Times New Roman" w:hAnsi="Times New Roman" w:cs="Times New Roman"/>
          <w:sz w:val="24"/>
          <w:szCs w:val="24"/>
          <w:lang w:eastAsia="fr-FR"/>
        </w:rPr>
      </w:pPr>
    </w:p>
    <w:p w:rsidR="00F54464" w:rsidRDefault="00F54464" w:rsidP="00240B34">
      <w:pPr>
        <w:spacing w:after="120" w:line="240" w:lineRule="auto"/>
        <w:jc w:val="both"/>
        <w:rPr>
          <w:rFonts w:ascii="Times New Roman" w:eastAsia="Times New Roman" w:hAnsi="Times New Roman" w:cs="Times New Roman"/>
          <w:sz w:val="24"/>
          <w:szCs w:val="24"/>
          <w:lang w:eastAsia="fr-FR"/>
        </w:rPr>
      </w:pPr>
    </w:p>
    <w:p w:rsidR="00F54464" w:rsidRPr="00240B34" w:rsidRDefault="00F54464" w:rsidP="00240B34">
      <w:pPr>
        <w:spacing w:after="120" w:line="240" w:lineRule="auto"/>
        <w:jc w:val="both"/>
        <w:rPr>
          <w:rFonts w:ascii="Times New Roman" w:eastAsia="Times New Roman" w:hAnsi="Times New Roman" w:cs="Times New Roman"/>
          <w:sz w:val="24"/>
          <w:szCs w:val="24"/>
          <w:lang w:eastAsia="fr-FR"/>
        </w:rPr>
        <w:sectPr w:rsidR="00F54464" w:rsidRPr="00240B34" w:rsidSect="00240B34">
          <w:footerReference w:type="default" r:id="rId8"/>
          <w:footerReference w:type="first" r:id="rId9"/>
          <w:pgSz w:w="11906" w:h="16838"/>
          <w:pgMar w:top="1418" w:right="1418" w:bottom="1418" w:left="1418" w:header="709" w:footer="709" w:gutter="0"/>
          <w:cols w:space="708"/>
          <w:titlePg/>
          <w:docGrid w:linePitch="360"/>
        </w:sectPr>
      </w:pPr>
    </w:p>
    <w:tbl>
      <w:tblPr>
        <w:tblW w:w="15041" w:type="dxa"/>
        <w:jc w:val="center"/>
        <w:tblInd w:w="57" w:type="dxa"/>
        <w:tblCellMar>
          <w:left w:w="70" w:type="dxa"/>
          <w:right w:w="70" w:type="dxa"/>
        </w:tblCellMar>
        <w:tblLook w:val="0000"/>
      </w:tblPr>
      <w:tblGrid>
        <w:gridCol w:w="1154"/>
        <w:gridCol w:w="530"/>
        <w:gridCol w:w="1424"/>
        <w:gridCol w:w="1500"/>
        <w:gridCol w:w="1500"/>
        <w:gridCol w:w="1269"/>
        <w:gridCol w:w="1331"/>
        <w:gridCol w:w="1700"/>
        <w:gridCol w:w="1680"/>
        <w:gridCol w:w="1700"/>
        <w:gridCol w:w="1600"/>
      </w:tblGrid>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997620" w:rsidRPr="00997620" w:rsidRDefault="00997620" w:rsidP="00997620">
            <w:pPr>
              <w:spacing w:after="120" w:line="240" w:lineRule="auto"/>
              <w:jc w:val="center"/>
              <w:rPr>
                <w:rFonts w:ascii="Times New Roman" w:eastAsia="Times New Roman" w:hAnsi="Times New Roman" w:cs="Times New Roman"/>
                <w:b/>
                <w:sz w:val="24"/>
                <w:szCs w:val="24"/>
                <w:lang w:eastAsia="fr-FR"/>
              </w:rPr>
            </w:pPr>
            <w:r w:rsidRPr="00997620">
              <w:rPr>
                <w:rFonts w:ascii="Times New Roman" w:eastAsia="Times New Roman" w:hAnsi="Times New Roman" w:cs="Times New Roman"/>
                <w:b/>
                <w:sz w:val="24"/>
                <w:szCs w:val="24"/>
                <w:lang w:eastAsia="fr-FR"/>
              </w:rPr>
              <w:lastRenderedPageBreak/>
              <w:t>ANNEXE 1.</w:t>
            </w:r>
          </w:p>
          <w:p w:rsidR="00997620" w:rsidRPr="00997620" w:rsidRDefault="00997620" w:rsidP="00F54464">
            <w:pPr>
              <w:spacing w:after="0" w:line="240" w:lineRule="auto"/>
              <w:rPr>
                <w:rFonts w:ascii="Arial" w:eastAsia="Times New Roman" w:hAnsi="Arial" w:cs="Arial"/>
                <w:sz w:val="24"/>
                <w:szCs w:val="24"/>
                <w:lang w:eastAsia="fr-FR"/>
              </w:rPr>
            </w:pPr>
          </w:p>
          <w:p w:rsidR="00997620" w:rsidRPr="00997620" w:rsidRDefault="00997620" w:rsidP="00F54464">
            <w:pPr>
              <w:spacing w:after="0" w:line="240" w:lineRule="auto"/>
              <w:rPr>
                <w:rFonts w:ascii="Arial" w:eastAsia="Times New Roman" w:hAnsi="Arial" w:cs="Arial"/>
                <w:sz w:val="24"/>
                <w:szCs w:val="24"/>
                <w:lang w:eastAsia="fr-FR"/>
              </w:rPr>
            </w:pPr>
          </w:p>
        </w:tc>
        <w:tc>
          <w:tcPr>
            <w:tcW w:w="1954" w:type="dxa"/>
            <w:gridSpan w:val="2"/>
            <w:tcBorders>
              <w:top w:val="nil"/>
              <w:left w:val="nil"/>
              <w:bottom w:val="nil"/>
              <w:right w:val="nil"/>
            </w:tcBorders>
            <w:shd w:val="clear" w:color="auto" w:fill="auto"/>
            <w:noWrap/>
            <w:vAlign w:val="bottom"/>
          </w:tcPr>
          <w:p w:rsidR="00997620" w:rsidRDefault="00FF0B62" w:rsidP="00F54464">
            <w:pPr>
              <w:spacing w:after="0" w:line="240" w:lineRule="auto"/>
              <w:jc w:val="center"/>
              <w:rPr>
                <w:rFonts w:ascii="Arial" w:eastAsia="Times New Roman" w:hAnsi="Arial" w:cs="Arial"/>
                <w:b/>
                <w:bCs/>
                <w:sz w:val="20"/>
                <w:szCs w:val="20"/>
                <w:lang w:eastAsia="fr-FR"/>
              </w:rPr>
            </w:pPr>
            <w:r>
              <w:rPr>
                <w:rFonts w:ascii="Arial" w:eastAsia="Times New Roman" w:hAnsi="Arial" w:cs="Arial"/>
                <w:b/>
                <w:bCs/>
                <w:noProof/>
                <w:sz w:val="20"/>
                <w:szCs w:val="20"/>
                <w:lang w:eastAsia="fr-BE"/>
              </w:rPr>
              <w:pict>
                <v:shapetype id="_x0000_t202" coordsize="21600,21600" o:spt="202" path="m,l,21600r21600,l21600,xe">
                  <v:stroke joinstyle="miter"/>
                  <v:path gradientshapeok="t" o:connecttype="rect"/>
                </v:shapetype>
                <v:shape id="_x0000_s1026" type="#_x0000_t202" style="position:absolute;left:0;text-align:left;margin-left:50.3pt;margin-top:-32.2pt;width:549.5pt;height:33.5pt;z-index:251658240;mso-position-horizontal-relative:text;mso-position-vertical-relative:text" stroked="f">
                  <v:textbox style="mso-next-textbox:#_x0000_s1026">
                    <w:txbxContent>
                      <w:p w:rsidR="0085488F" w:rsidRPr="00FC4A9E" w:rsidRDefault="0085488F" w:rsidP="00AC2B44">
                        <w:pPr>
                          <w:pStyle w:val="En-tte"/>
                          <w:jc w:val="center"/>
                          <w:rPr>
                            <w:b/>
                            <w:bCs/>
                            <w:sz w:val="28"/>
                            <w:szCs w:val="28"/>
                          </w:rPr>
                        </w:pPr>
                        <w:r w:rsidRPr="00FC4A9E">
                          <w:rPr>
                            <w:b/>
                            <w:bCs/>
                            <w:sz w:val="32"/>
                            <w:szCs w:val="32"/>
                          </w:rPr>
                          <w:t>Simulation de « la solidarité gelée » pour le financement des zones de police</w:t>
                        </w:r>
                      </w:p>
                      <w:p w:rsidR="0085488F" w:rsidRDefault="0085488F"/>
                    </w:txbxContent>
                  </v:textbox>
                </v:shape>
              </w:pict>
            </w:r>
            <w:r w:rsidR="00FC4A9E">
              <w:rPr>
                <w:rFonts w:ascii="Arial" w:eastAsia="Times New Roman" w:hAnsi="Arial" w:cs="Arial"/>
                <w:b/>
                <w:bCs/>
                <w:sz w:val="20"/>
                <w:szCs w:val="20"/>
                <w:lang w:eastAsia="fr-FR"/>
              </w:rPr>
              <w:t xml:space="preserve"> </w:t>
            </w:r>
          </w:p>
          <w:p w:rsidR="00997620" w:rsidRDefault="00997620" w:rsidP="00F54464">
            <w:pPr>
              <w:spacing w:after="0" w:line="240" w:lineRule="auto"/>
              <w:jc w:val="center"/>
              <w:rPr>
                <w:rFonts w:ascii="Arial" w:eastAsia="Times New Roman" w:hAnsi="Arial" w:cs="Arial"/>
                <w:b/>
                <w:bCs/>
                <w:sz w:val="20"/>
                <w:szCs w:val="20"/>
                <w:lang w:eastAsia="fr-FR"/>
              </w:rPr>
            </w:pPr>
          </w:p>
          <w:p w:rsidR="00997620" w:rsidRDefault="00997620" w:rsidP="00F54464">
            <w:pPr>
              <w:spacing w:after="0" w:line="240" w:lineRule="auto"/>
              <w:jc w:val="center"/>
              <w:rPr>
                <w:rFonts w:ascii="Arial" w:eastAsia="Times New Roman" w:hAnsi="Arial" w:cs="Arial"/>
                <w:b/>
                <w:bCs/>
                <w:sz w:val="20"/>
                <w:szCs w:val="20"/>
                <w:lang w:eastAsia="fr-FR"/>
              </w:rPr>
            </w:pPr>
          </w:p>
          <w:p w:rsidR="00997620" w:rsidRDefault="00997620" w:rsidP="00F54464">
            <w:pPr>
              <w:spacing w:after="0" w:line="240" w:lineRule="auto"/>
              <w:jc w:val="center"/>
              <w:rPr>
                <w:rFonts w:ascii="Arial" w:eastAsia="Times New Roman" w:hAnsi="Arial" w:cs="Arial"/>
                <w:b/>
                <w:bCs/>
                <w:sz w:val="20"/>
                <w:szCs w:val="20"/>
                <w:lang w:eastAsia="fr-FR"/>
              </w:rPr>
            </w:pPr>
          </w:p>
          <w:p w:rsidR="00997620" w:rsidRDefault="00997620" w:rsidP="00F54464">
            <w:pPr>
              <w:spacing w:after="0" w:line="240" w:lineRule="auto"/>
              <w:jc w:val="center"/>
              <w:rPr>
                <w:rFonts w:ascii="Arial" w:eastAsia="Times New Roman" w:hAnsi="Arial" w:cs="Arial"/>
                <w:b/>
                <w:bCs/>
                <w:sz w:val="20"/>
                <w:szCs w:val="20"/>
                <w:lang w:eastAsia="fr-FR"/>
              </w:rPr>
            </w:pPr>
          </w:p>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SCENARIO PREVU</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SOLIDARITE</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SOLIDARITE</w:t>
            </w:r>
          </w:p>
        </w:tc>
        <w:tc>
          <w:tcPr>
            <w:tcW w:w="2600" w:type="dxa"/>
            <w:gridSpan w:val="2"/>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SCENARIO GELE</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SOLIDARITE</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SOLIDARITE</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DIFFERENCE</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DIFFERENCE</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PREVUE</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PREVUE</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GELEE</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GELEE</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CUMULEE</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9 527 812,31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(a)</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CUMULEE</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9 527 812,31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(b)</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CUMULEE</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(b) - (a)</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(b) - (a)</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MOINS</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MOINS</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2002</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9 527 812,31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9 527 812,31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0,00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9 527 812,31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9 527 812,31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0,00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0,00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2003</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8 733 827,95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18 261 640,26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100%</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793 984,36</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8 733 827,95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18 261 640,26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0,00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0,00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2004</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7 939 843,59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26 201 483,85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50 %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396 992,18</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8 336 835,77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26 598 476,03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396 992,18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396 992,18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2005</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7 145 859,23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33 347 343,09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8 138 339,68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34 736 815,71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992 480,45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1 389 472,63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2006</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6 351 874,87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39 699 217,96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7 939 843,59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42 676 659,31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1 587 968,72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2 977 441,35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2007</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5 557 890,51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45 257 108,47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7 741 347,50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50 418 006,81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2 183 456,99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5 160 898,33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2008</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4 763 906,16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50 021 014,63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7 542 851,41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57 960 858,22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2 778 945,26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7 939 843,59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2009</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3 969 921,80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53 990 936,42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7 344 355,32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65 305 213,54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3 374 433,53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11 314 277,12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2010</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3 175 937,44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57 166 873,86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7 145 859,23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72 451 072,77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3 969 921,80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15 284 198,91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sz w:val="20"/>
                <w:szCs w:val="20"/>
                <w:lang w:eastAsia="fr-FR"/>
              </w:rPr>
            </w:pPr>
            <w:r w:rsidRPr="00F54464">
              <w:rPr>
                <w:rFonts w:ascii="Arial" w:eastAsia="Times New Roman" w:hAnsi="Arial" w:cs="Arial"/>
                <w:sz w:val="20"/>
                <w:szCs w:val="20"/>
                <w:lang w:eastAsia="fr-FR"/>
              </w:rPr>
              <w:t>2011</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2 381 953,08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59 548 826,94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r w:rsidRPr="00F54464">
              <w:rPr>
                <w:rFonts w:ascii="Arial" w:eastAsia="Times New Roman" w:hAnsi="Arial" w:cs="Arial"/>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6 947 363,14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79 398 435,92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4 565 410,07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sz w:val="20"/>
                <w:szCs w:val="20"/>
                <w:lang w:eastAsia="fr-FR"/>
              </w:rPr>
            </w:pPr>
            <w:r w:rsidRPr="00F54464">
              <w:rPr>
                <w:rFonts w:ascii="Arial" w:eastAsia="Times New Roman" w:hAnsi="Arial" w:cs="Arial"/>
                <w:sz w:val="20"/>
                <w:szCs w:val="20"/>
                <w:lang w:eastAsia="fr-FR"/>
              </w:rPr>
              <w:t xml:space="preserve">19 849 608,98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2012</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1 587 968,72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61 136 795,66  </w:t>
            </w: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6 748 867,05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86 147 302,97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5 160 898,33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 xml:space="preserve">25 010 507,31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2013</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6 550 370,96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92 697 673,93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5 756 386,60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30 766 893,92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2014</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w:t>
            </w: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793 984,36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6 351 874,87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99 049 548,81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6 351 874,87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37 118 768,79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2015</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u w:val="single"/>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6 153 378,78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105 202 927,59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6 153 378,78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43 272 147,57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2016</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5 954 882,69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111 157 810,28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5 954 882,69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49 227 030,27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2017</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5 756 386,60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116 914 196,89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5 756 386,60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54 983 416,87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2018</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5 557 890,51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122 472 087,40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5 557 890,51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60 541 307,39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2019</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5 359 394,42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127 831 481,83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5 359 394,42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65 900 701,81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2020</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5 160 898,33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132 992 380,16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5 160 898,33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71 061 600,15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2021</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4 962 402,24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137 954 782,41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4 962 402,24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76 024 002,39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2022</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4 763 906,16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142 718 688,56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4 763 906,16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80 787 908,55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2023</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4 565 410,07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147 284 098,63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4 565 410,07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85 353 318,61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2024</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4 366 913,98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151 651 012,60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4 366 913,98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89 720 232,59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2025</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4 168 417,89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155 819 430,49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4 168 417,89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93 888 650,47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2026</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3 969 921,80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159 789 352,28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3 969 921,80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97 858 572,27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2027</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3 771 425,71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163 560 777,99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3 771 425,71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101 629 997,97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2028</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3 572 929,62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167 133 707,60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3 572 929,62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105 202 927,59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lastRenderedPageBreak/>
              <w:t>2029</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3 374 433,53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170 508 141,13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3 374 433,53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108 577 361,12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2030</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3 175 937,44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173 684 078,57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3 175 937,44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111 753 298,55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2031</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2 977 441,35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176 661 519,91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2 977 441,35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114 730 739,90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2032</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2 778 945,26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179 440 465,17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2 778 945,26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117 509 685,16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2033</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2 580 449,17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182 020 914,34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2 580 449,17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120 090 134,32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2034</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2 381 953,08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184 402 867,42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2 381 953,08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122 472 087,40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2035</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2 183 456,99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186 586 324,40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2 183 456,99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124 655 544,39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2036</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1 984 960,90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188 571 285,30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1 984 960,90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126 640 505,29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2037</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1 786 464,81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190 357 750,11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1 786 464,81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128 426 970,10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2038</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1 587 968,72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191 945 718,83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1 587 968,72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130 014 938,81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2039</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1 389 472,63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193 335 191,46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1 389 472,63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131 404 411,44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2040</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1 190 976,54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194 526 168,00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1 190 976,54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132 595 387,98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2041</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992 480,45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195 518 648,44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992 480,45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133 587 868,43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2042</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793 984,36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196 312 632,80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793 984,36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134 381 852,79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2043</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595 488,27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196 908 121,07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595 488,27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134 977 341,06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2044</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396 992,18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197 305 113,25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396 992,18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135 374 333,24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2045</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198 496,09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197 503 609,34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198 496,09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135 572 829,33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center"/>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2046</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1/12 x 25 %</w:t>
            </w: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198 496,09</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197 503 609,34  </w:t>
            </w: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0,00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i/>
                <w:iCs/>
                <w:sz w:val="20"/>
                <w:szCs w:val="20"/>
                <w:lang w:eastAsia="fr-FR"/>
              </w:rPr>
            </w:pPr>
            <w:r w:rsidRPr="00F54464">
              <w:rPr>
                <w:rFonts w:ascii="Arial" w:eastAsia="Times New Roman" w:hAnsi="Arial" w:cs="Arial"/>
                <w:i/>
                <w:iCs/>
                <w:sz w:val="20"/>
                <w:szCs w:val="20"/>
                <w:lang w:eastAsia="fr-FR"/>
              </w:rPr>
              <w:t xml:space="preserve">135 572 829,33  </w:t>
            </w: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r w:rsidRPr="00F54464">
              <w:rPr>
                <w:rFonts w:ascii="Arial" w:eastAsia="Times New Roman" w:hAnsi="Arial" w:cs="Arial"/>
                <w:b/>
                <w:bCs/>
                <w:i/>
                <w:iCs/>
                <w:sz w:val="20"/>
                <w:szCs w:val="20"/>
                <w:lang w:eastAsia="fr-FR"/>
              </w:rPr>
              <w:t>TOTAL</w:t>
            </w: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i/>
                <w:iCs/>
                <w:sz w:val="20"/>
                <w:szCs w:val="20"/>
                <w:lang w:eastAsia="fr-FR"/>
              </w:rPr>
            </w:pPr>
            <w:r w:rsidRPr="00F54464">
              <w:rPr>
                <w:rFonts w:ascii="Arial" w:eastAsia="Times New Roman" w:hAnsi="Arial" w:cs="Arial"/>
                <w:b/>
                <w:bCs/>
                <w:i/>
                <w:iCs/>
                <w:sz w:val="20"/>
                <w:szCs w:val="20"/>
                <w:lang w:eastAsia="fr-FR"/>
              </w:rPr>
              <w:t xml:space="preserve">61 930 780,02  </w:t>
            </w: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i/>
                <w:iCs/>
                <w:sz w:val="20"/>
                <w:szCs w:val="20"/>
                <w:lang w:eastAsia="fr-FR"/>
              </w:rPr>
            </w:pPr>
            <w:r w:rsidRPr="00F54464">
              <w:rPr>
                <w:rFonts w:ascii="Arial" w:eastAsia="Times New Roman" w:hAnsi="Arial" w:cs="Arial"/>
                <w:b/>
                <w:bCs/>
                <w:i/>
                <w:iCs/>
                <w:sz w:val="20"/>
                <w:szCs w:val="20"/>
                <w:lang w:eastAsia="fr-FR"/>
              </w:rPr>
              <w:t xml:space="preserve">197 503 609,34  </w:t>
            </w: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jc w:val="right"/>
              <w:rPr>
                <w:rFonts w:ascii="Arial" w:eastAsia="Times New Roman" w:hAnsi="Arial" w:cs="Arial"/>
                <w:b/>
                <w:bCs/>
                <w:i/>
                <w:iCs/>
                <w:sz w:val="20"/>
                <w:szCs w:val="20"/>
                <w:lang w:eastAsia="fr-FR"/>
              </w:rPr>
            </w:pPr>
            <w:r w:rsidRPr="00F54464">
              <w:rPr>
                <w:rFonts w:ascii="Arial" w:eastAsia="Times New Roman" w:hAnsi="Arial" w:cs="Arial"/>
                <w:b/>
                <w:bCs/>
                <w:i/>
                <w:iCs/>
                <w:sz w:val="20"/>
                <w:szCs w:val="20"/>
                <w:lang w:eastAsia="fr-FR"/>
              </w:rPr>
              <w:t xml:space="preserve">135 572 829,33  </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i/>
                <w:iCs/>
                <w:sz w:val="20"/>
                <w:szCs w:val="20"/>
                <w:lang w:eastAsia="fr-FR"/>
              </w:rPr>
            </w:pP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i/>
                <w:iCs/>
                <w:sz w:val="20"/>
                <w:szCs w:val="20"/>
                <w:lang w:eastAsia="fr-FR"/>
              </w:rPr>
            </w:pPr>
          </w:p>
        </w:tc>
      </w:tr>
      <w:tr w:rsidR="00F54464" w:rsidRPr="00F54464" w:rsidTr="00F54464">
        <w:trPr>
          <w:trHeight w:val="255"/>
          <w:jc w:val="center"/>
        </w:trPr>
        <w:tc>
          <w:tcPr>
            <w:tcW w:w="13441" w:type="dxa"/>
            <w:gridSpan w:val="10"/>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Tous les montants sont en € constants de 2002</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r>
      <w:tr w:rsidR="00F54464" w:rsidRPr="00F54464" w:rsidTr="00F54464">
        <w:trPr>
          <w:trHeight w:val="255"/>
          <w:jc w:val="center"/>
        </w:trPr>
        <w:tc>
          <w:tcPr>
            <w:tcW w:w="13441" w:type="dxa"/>
            <w:gridSpan w:val="10"/>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b/>
                <w:bCs/>
                <w:sz w:val="20"/>
                <w:szCs w:val="20"/>
                <w:lang w:eastAsia="fr-FR"/>
              </w:rPr>
            </w:pPr>
            <w:r w:rsidRPr="00F54464">
              <w:rPr>
                <w:rFonts w:ascii="Arial" w:eastAsia="Times New Roman" w:hAnsi="Arial" w:cs="Arial"/>
                <w:b/>
                <w:bCs/>
                <w:sz w:val="20"/>
                <w:szCs w:val="20"/>
                <w:lang w:eastAsia="fr-FR"/>
              </w:rPr>
              <w:t>Scénario hypothétique à manipuler avec prudence quant à l'après 2012</w:t>
            </w: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r>
      <w:tr w:rsidR="00F54464" w:rsidRPr="00F54464" w:rsidTr="00F54464">
        <w:trPr>
          <w:trHeight w:val="255"/>
          <w:jc w:val="center"/>
        </w:trPr>
        <w:tc>
          <w:tcPr>
            <w:tcW w:w="807"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53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424"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5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269"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331"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68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7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c>
          <w:tcPr>
            <w:tcW w:w="1600" w:type="dxa"/>
            <w:tcBorders>
              <w:top w:val="nil"/>
              <w:left w:val="nil"/>
              <w:bottom w:val="nil"/>
              <w:right w:val="nil"/>
            </w:tcBorders>
            <w:shd w:val="clear" w:color="auto" w:fill="auto"/>
            <w:noWrap/>
            <w:vAlign w:val="bottom"/>
          </w:tcPr>
          <w:p w:rsidR="00F54464" w:rsidRPr="00F54464" w:rsidRDefault="00F54464" w:rsidP="00F54464">
            <w:pPr>
              <w:spacing w:after="0" w:line="240" w:lineRule="auto"/>
              <w:rPr>
                <w:rFonts w:ascii="Arial" w:eastAsia="Times New Roman" w:hAnsi="Arial" w:cs="Arial"/>
                <w:sz w:val="20"/>
                <w:szCs w:val="20"/>
                <w:lang w:eastAsia="fr-FR"/>
              </w:rPr>
            </w:pPr>
          </w:p>
        </w:tc>
      </w:tr>
    </w:tbl>
    <w:p w:rsidR="00F54464" w:rsidRPr="00F54464" w:rsidRDefault="00F54464" w:rsidP="00F54464">
      <w:pPr>
        <w:spacing w:after="120" w:line="240" w:lineRule="auto"/>
        <w:jc w:val="both"/>
        <w:rPr>
          <w:rFonts w:ascii="Times New Roman" w:eastAsia="Times New Roman" w:hAnsi="Times New Roman" w:cs="Times New Roman"/>
          <w:sz w:val="24"/>
          <w:szCs w:val="24"/>
          <w:lang w:eastAsia="fr-FR"/>
        </w:rPr>
      </w:pPr>
    </w:p>
    <w:sectPr w:rsidR="00F54464" w:rsidRPr="00F54464" w:rsidSect="00F54464">
      <w:footerReference w:type="default" r:id="rId10"/>
      <w:pgSz w:w="16838" w:h="11906" w:orient="landscape"/>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3A" w:rsidRDefault="0046303A" w:rsidP="00E2522F">
      <w:pPr>
        <w:spacing w:after="0" w:line="240" w:lineRule="auto"/>
      </w:pPr>
      <w:r>
        <w:separator/>
      </w:r>
    </w:p>
  </w:endnote>
  <w:endnote w:type="continuationSeparator" w:id="0">
    <w:p w:rsidR="0046303A" w:rsidRDefault="0046303A" w:rsidP="00E25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68296"/>
      <w:docPartObj>
        <w:docPartGallery w:val="Page Numbers (Bottom of Page)"/>
        <w:docPartUnique/>
      </w:docPartObj>
    </w:sdtPr>
    <w:sdtContent>
      <w:p w:rsidR="009F3ABD" w:rsidRDefault="009F3ABD">
        <w:pPr>
          <w:pStyle w:val="Pieddepage"/>
          <w:jc w:val="right"/>
        </w:pPr>
        <w:fldSimple w:instr=" PAGE   \* MERGEFORMAT ">
          <w:r>
            <w:rPr>
              <w:noProof/>
            </w:rPr>
            <w:t>8</w:t>
          </w:r>
        </w:fldSimple>
      </w:p>
    </w:sdtContent>
  </w:sdt>
  <w:p w:rsidR="009F3ABD" w:rsidRDefault="009F3A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68295"/>
      <w:docPartObj>
        <w:docPartGallery w:val="Page Numbers (Bottom of Page)"/>
        <w:docPartUnique/>
      </w:docPartObj>
    </w:sdtPr>
    <w:sdtContent>
      <w:p w:rsidR="009F3ABD" w:rsidRDefault="009F3ABD">
        <w:pPr>
          <w:pStyle w:val="Pieddepage"/>
          <w:jc w:val="right"/>
        </w:pPr>
        <w:fldSimple w:instr=" PAGE   \* MERGEFORMAT ">
          <w:r>
            <w:rPr>
              <w:noProof/>
            </w:rPr>
            <w:t>1</w:t>
          </w:r>
        </w:fldSimple>
      </w:p>
    </w:sdtContent>
  </w:sdt>
  <w:p w:rsidR="0085488F" w:rsidRDefault="0085488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010836"/>
      <w:docPartObj>
        <w:docPartGallery w:val="Page Numbers (Bottom of Page)"/>
        <w:docPartUnique/>
      </w:docPartObj>
    </w:sdtPr>
    <w:sdtContent>
      <w:p w:rsidR="0085488F" w:rsidRDefault="0085488F">
        <w:pPr>
          <w:pStyle w:val="Pieddepage"/>
        </w:pPr>
        <w:r>
          <w:rPr>
            <w:noProof/>
          </w:rPr>
          <w:pict>
            <v:group id="Groupe 6" o:spid="_x0000_s4097" style="position:absolute;margin-left:148.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XIsQMAABg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xO5padvisTcLpV3efuXrkUwbyT2a8atifP9+26dM5k1/8g&#10;c4jH9kYiO4dCtTYE5E0OWITHYxH4wZAMbsZBGPpQqgy2BhuLlFVQSXsq8Jd2H7ad57C7Gc7bm+40&#10;WhYjS9yDEewAzmYGLaefWNXvY/VzxTqOxdKWsJFVC8ax+iM0IxNlw8nMEYt+I6vaUUqEXFXgxa+V&#10;kn3FWQ6wAusP4E8O2IWGgvwjxy+yNXL9N1yxpFPa3HLZEmukVAF8LCJ7uNPG0Tq62Jpq2dT5tm4a&#10;XKhyt2oUeWCguy3+MIdnboADYtkDFhHq5fc4mIb+zTT2tvPlwgu3YeTFC3/p+UF8E8/9MA7X2z8s&#10;kCBMqjrPubirBR+1G4Svq+IwRZzqUL2kh36LphHm+PVkfPy9lExbGxhlTd2mFBoUftaJJbaGG5Gj&#10;bVjdOHtyDh+bFDgY/5EVrLgtsutVc9gdIIqt/E7mj1B7JaEu0F8wf8GopPpCSQ+zLKX6tz1TnJLm&#10;ewH9gzKC4YeLMFpM4Yw63dmd7jCRQaiUGkqcuTJuYO47VZcVPClAjoS8Bl0XNfbCE6qhU0FZ/5vE&#10;glFiFhDqkKBkzhQDrfdfSsyRH8wiV2pSNHX33UjNMN9Ae8FsmFSLMHT9cNReMAXcdsqFcTT00zgf&#10;R10N0qtky+8bZux4YQnqzxplPkwWlv9CSdE28OYCwZFoPg9wdsPgG5zBGmPak0JaoWJLNuKVjR+t&#10;lrMbzAGCnenjXzZ+0giL4UXt+/FmuVmGXjidb7zQX6+96+0q9ObbYBGtZ+vVah2ca9/m8X7tWzxn&#10;KenT+fW1zE807OYeEPMKDePb9tif75HyyzKGu6OEM6PGxdtFjG9N+PzA2TR8Ktnvm9M1iv7pg+7q&#10;TwAAAP//AwBQSwMEFAAGAAgAAAAhAMqvLdbYAAAABQEAAA8AAABkcnMvZG93bnJldi54bWxMj0FL&#10;w0AQhe+C/2EZwZvdRKtIzKaUop6KYCuIt2l2moRmZ0N2m6T/3qkIehnm8YY338sXk2vVQH1oPBtI&#10;Zwko4tLbhisDH9uXm0dQISJbbD2TgRMFWBSXFzlm1o/8TsMmVkpCOGRooI6xy7QOZU0Ow8x3xOLt&#10;fe8wiuwrbXscJdy1+jZJHrTDhuVDjR2taioPm6Mz8DriuLxLn4f1Yb86fW3v3z7XKRlzfTUtn0BF&#10;muLfMZzxBR0KYdr5I9ugWgNSJP7Mszefi9z9LrrI9X/64hsAAP//AwBQSwECLQAUAAYACAAAACEA&#10;toM4kv4AAADhAQAAEwAAAAAAAAAAAAAAAAAAAAAAW0NvbnRlbnRfVHlwZXNdLnhtbFBLAQItABQA&#10;BgAIAAAAIQA4/SH/1gAAAJQBAAALAAAAAAAAAAAAAAAAAC8BAABfcmVscy8ucmVsc1BLAQItABQA&#10;BgAIAAAAIQCy40XIsQMAABgKAAAOAAAAAAAAAAAAAAAAAC4CAABkcnMvZTJvRG9jLnhtbFBLAQIt&#10;ABQABgAIAAAAIQDKry3W2AAAAAUBAAAPAAAAAAAAAAAAAAAAAAsGAABkcnMvZG93bnJldi54bWxQ&#10;SwUGAAAAAAQABADzAAAAEAcAAAAA&#10;" o:allowincell="f">
              <v:rect id="Rectangle 3" o:spid="_x0000_s4099" style="position:absolute;left:10800;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85488F" w:rsidRDefault="0085488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4098" type="#_x0000_t15" style="position:absolute;left:10813;top:14744;width:1121;height:495;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85488F" w:rsidRDefault="0085488F">
                      <w:pPr>
                        <w:pStyle w:val="Pieddepage"/>
                        <w:jc w:val="center"/>
                      </w:pPr>
                      <w:fldSimple w:instr="PAGE   \* MERGEFORMAT">
                        <w:r w:rsidR="009F3ABD" w:rsidRPr="009F3ABD">
                          <w:rPr>
                            <w:noProof/>
                            <w:lang w:val="fr-FR"/>
                          </w:rPr>
                          <w:t>1</w:t>
                        </w:r>
                      </w:fldSimple>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3A" w:rsidRDefault="0046303A" w:rsidP="00E2522F">
      <w:pPr>
        <w:spacing w:after="0" w:line="240" w:lineRule="auto"/>
      </w:pPr>
      <w:r>
        <w:separator/>
      </w:r>
    </w:p>
  </w:footnote>
  <w:footnote w:type="continuationSeparator" w:id="0">
    <w:p w:rsidR="0046303A" w:rsidRDefault="0046303A" w:rsidP="00E2522F">
      <w:pPr>
        <w:spacing w:after="0" w:line="240" w:lineRule="auto"/>
      </w:pPr>
      <w:r>
        <w:continuationSeparator/>
      </w:r>
    </w:p>
  </w:footnote>
  <w:footnote w:id="1">
    <w:p w:rsidR="0085488F" w:rsidRDefault="0085488F">
      <w:pPr>
        <w:pStyle w:val="Notedebasdepage"/>
      </w:pPr>
      <w:r>
        <w:rPr>
          <w:rStyle w:val="Appelnotedebasdep"/>
        </w:rPr>
        <w:footnoteRef/>
      </w:r>
      <w:r>
        <w:t xml:space="preserve"> Perspectives économiques régionales 2013-2018. BPF, IBSA, SVR, IWEPS Juillet 2013</w:t>
      </w:r>
      <w:r>
        <w:tab/>
      </w:r>
    </w:p>
  </w:footnote>
  <w:footnote w:id="2">
    <w:p w:rsidR="0085488F" w:rsidRDefault="0085488F">
      <w:pPr>
        <w:pStyle w:val="Notedebasdepage"/>
      </w:pPr>
      <w:r>
        <w:rPr>
          <w:rStyle w:val="Appelnotedebasdep"/>
        </w:rPr>
        <w:footnoteRef/>
      </w:r>
      <w:r>
        <w:t xml:space="preserve"> Voir : Baromètre social : Rapport bruxellois sur l’Etat de la pauvreté 2012 – Observatoire de la Santé et du Social</w:t>
      </w:r>
    </w:p>
  </w:footnote>
  <w:footnote w:id="3">
    <w:p w:rsidR="0085488F" w:rsidRDefault="0085488F">
      <w:pPr>
        <w:pStyle w:val="Notedebasdepage"/>
      </w:pPr>
      <w:r>
        <w:rPr>
          <w:rStyle w:val="Appelnotedebasdep"/>
        </w:rPr>
        <w:footnoteRef/>
      </w:r>
      <w:r>
        <w:t xml:space="preserve"> Voir ‘Insécurité, Police et Finances communales’ 10.052012</w:t>
      </w:r>
    </w:p>
    <w:p w:rsidR="0085488F" w:rsidRDefault="0085488F">
      <w:pPr>
        <w:pStyle w:val="Notedebasdepage"/>
      </w:pPr>
      <w:r>
        <w:t xml:space="preserve">   </w:t>
      </w:r>
      <w:r w:rsidRPr="00D0554B">
        <w:t>http://www.avcb-vsgb.be/fr/Publications/documents.html?doc_id=380&amp;vID=250</w:t>
      </w:r>
    </w:p>
  </w:footnote>
  <w:footnote w:id="4">
    <w:p w:rsidR="0085488F" w:rsidRDefault="0085488F" w:rsidP="00AD6B6B">
      <w:pPr>
        <w:pStyle w:val="Notedebasdepage"/>
      </w:pPr>
      <w:r>
        <w:rPr>
          <w:rStyle w:val="Appelnotedebasdep"/>
        </w:rPr>
        <w:footnoteRef/>
      </w:r>
      <w:r>
        <w:t xml:space="preserve"> Voir notamment Magali VERDONK USL – Analyse du volet ‘Financement complémentaire de la Région de Bruxelles-Capitale’ - Bulletin de documentation – 2013 – n° 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1173"/>
    <w:multiLevelType w:val="hybridMultilevel"/>
    <w:tmpl w:val="A8E049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EAF599F"/>
    <w:multiLevelType w:val="hybridMultilevel"/>
    <w:tmpl w:val="BAEA4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2A4D98"/>
    <w:rsid w:val="00062D3E"/>
    <w:rsid w:val="00072F8F"/>
    <w:rsid w:val="000748BE"/>
    <w:rsid w:val="0009189C"/>
    <w:rsid w:val="00110F1C"/>
    <w:rsid w:val="00116677"/>
    <w:rsid w:val="00171A7F"/>
    <w:rsid w:val="001B358A"/>
    <w:rsid w:val="001B434B"/>
    <w:rsid w:val="001B7D6D"/>
    <w:rsid w:val="00240B34"/>
    <w:rsid w:val="002660A6"/>
    <w:rsid w:val="002969DA"/>
    <w:rsid w:val="002A4D98"/>
    <w:rsid w:val="002B57EE"/>
    <w:rsid w:val="002C1F2C"/>
    <w:rsid w:val="00300C50"/>
    <w:rsid w:val="00311410"/>
    <w:rsid w:val="00316132"/>
    <w:rsid w:val="003A6E5A"/>
    <w:rsid w:val="003B3BF3"/>
    <w:rsid w:val="003E0AD5"/>
    <w:rsid w:val="00407D8A"/>
    <w:rsid w:val="004107CC"/>
    <w:rsid w:val="00452C70"/>
    <w:rsid w:val="0046303A"/>
    <w:rsid w:val="004670A9"/>
    <w:rsid w:val="0047271B"/>
    <w:rsid w:val="004C3D45"/>
    <w:rsid w:val="004D772E"/>
    <w:rsid w:val="005262D0"/>
    <w:rsid w:val="005946DA"/>
    <w:rsid w:val="005B4DC7"/>
    <w:rsid w:val="005E1643"/>
    <w:rsid w:val="005E5E35"/>
    <w:rsid w:val="00671BCC"/>
    <w:rsid w:val="00695F81"/>
    <w:rsid w:val="006A0250"/>
    <w:rsid w:val="006B653E"/>
    <w:rsid w:val="006D5941"/>
    <w:rsid w:val="00742A11"/>
    <w:rsid w:val="00752C62"/>
    <w:rsid w:val="00780E8E"/>
    <w:rsid w:val="007A1FE2"/>
    <w:rsid w:val="007A58F8"/>
    <w:rsid w:val="007E25DA"/>
    <w:rsid w:val="007F0145"/>
    <w:rsid w:val="008234B3"/>
    <w:rsid w:val="00831DF5"/>
    <w:rsid w:val="00833C66"/>
    <w:rsid w:val="0085488F"/>
    <w:rsid w:val="00883057"/>
    <w:rsid w:val="008D6D47"/>
    <w:rsid w:val="0090589A"/>
    <w:rsid w:val="00912FAE"/>
    <w:rsid w:val="0093327F"/>
    <w:rsid w:val="00937C5B"/>
    <w:rsid w:val="00960773"/>
    <w:rsid w:val="00971C9A"/>
    <w:rsid w:val="00983621"/>
    <w:rsid w:val="00997620"/>
    <w:rsid w:val="009B4775"/>
    <w:rsid w:val="009D0058"/>
    <w:rsid w:val="009F3ABD"/>
    <w:rsid w:val="00A02C2C"/>
    <w:rsid w:val="00A214A8"/>
    <w:rsid w:val="00A24A94"/>
    <w:rsid w:val="00A41BEF"/>
    <w:rsid w:val="00A45D38"/>
    <w:rsid w:val="00A865CD"/>
    <w:rsid w:val="00AA0B42"/>
    <w:rsid w:val="00AA7DE8"/>
    <w:rsid w:val="00AC2B44"/>
    <w:rsid w:val="00AC6C9F"/>
    <w:rsid w:val="00AD18C1"/>
    <w:rsid w:val="00AD21A4"/>
    <w:rsid w:val="00AD6B6B"/>
    <w:rsid w:val="00AE43A1"/>
    <w:rsid w:val="00AF0574"/>
    <w:rsid w:val="00AF06E1"/>
    <w:rsid w:val="00B41287"/>
    <w:rsid w:val="00B611BD"/>
    <w:rsid w:val="00B67BFE"/>
    <w:rsid w:val="00B70EC1"/>
    <w:rsid w:val="00B862CB"/>
    <w:rsid w:val="00BA4F63"/>
    <w:rsid w:val="00BD4648"/>
    <w:rsid w:val="00CB3816"/>
    <w:rsid w:val="00CD4410"/>
    <w:rsid w:val="00D0554B"/>
    <w:rsid w:val="00D17224"/>
    <w:rsid w:val="00D66F26"/>
    <w:rsid w:val="00D92B0D"/>
    <w:rsid w:val="00D944E1"/>
    <w:rsid w:val="00E11B72"/>
    <w:rsid w:val="00E2522F"/>
    <w:rsid w:val="00E54AF8"/>
    <w:rsid w:val="00E603A8"/>
    <w:rsid w:val="00EF14AC"/>
    <w:rsid w:val="00F25F5C"/>
    <w:rsid w:val="00F31D24"/>
    <w:rsid w:val="00F36080"/>
    <w:rsid w:val="00F372D6"/>
    <w:rsid w:val="00F50856"/>
    <w:rsid w:val="00F54464"/>
    <w:rsid w:val="00F6155E"/>
    <w:rsid w:val="00F84084"/>
    <w:rsid w:val="00FB4F34"/>
    <w:rsid w:val="00FC4A9E"/>
    <w:rsid w:val="00FE4921"/>
    <w:rsid w:val="00FF0B62"/>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5C"/>
  </w:style>
  <w:style w:type="paragraph" w:styleId="Titre1">
    <w:name w:val="heading 1"/>
    <w:basedOn w:val="Normal"/>
    <w:next w:val="Normal"/>
    <w:link w:val="Titre1Car"/>
    <w:uiPriority w:val="9"/>
    <w:qFormat/>
    <w:rsid w:val="00A86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86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865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252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522F"/>
    <w:rPr>
      <w:sz w:val="20"/>
      <w:szCs w:val="20"/>
    </w:rPr>
  </w:style>
  <w:style w:type="character" w:styleId="Appelnotedebasdep">
    <w:name w:val="footnote reference"/>
    <w:basedOn w:val="Policepardfaut"/>
    <w:uiPriority w:val="99"/>
    <w:semiHidden/>
    <w:unhideWhenUsed/>
    <w:rsid w:val="00E2522F"/>
    <w:rPr>
      <w:vertAlign w:val="superscript"/>
    </w:rPr>
  </w:style>
  <w:style w:type="paragraph" w:styleId="En-tte">
    <w:name w:val="header"/>
    <w:basedOn w:val="Normal"/>
    <w:link w:val="En-tteCar"/>
    <w:uiPriority w:val="99"/>
    <w:unhideWhenUsed/>
    <w:rsid w:val="00831DF5"/>
    <w:pPr>
      <w:tabs>
        <w:tab w:val="center" w:pos="4536"/>
        <w:tab w:val="right" w:pos="9072"/>
      </w:tabs>
      <w:spacing w:after="0" w:line="240" w:lineRule="auto"/>
    </w:pPr>
  </w:style>
  <w:style w:type="character" w:customStyle="1" w:styleId="En-tteCar">
    <w:name w:val="En-tête Car"/>
    <w:basedOn w:val="Policepardfaut"/>
    <w:link w:val="En-tte"/>
    <w:uiPriority w:val="99"/>
    <w:rsid w:val="00831DF5"/>
  </w:style>
  <w:style w:type="paragraph" w:styleId="Pieddepage">
    <w:name w:val="footer"/>
    <w:basedOn w:val="Normal"/>
    <w:link w:val="PieddepageCar"/>
    <w:uiPriority w:val="99"/>
    <w:unhideWhenUsed/>
    <w:rsid w:val="00831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DF5"/>
  </w:style>
  <w:style w:type="paragraph" w:styleId="Paragraphedeliste">
    <w:name w:val="List Paragraph"/>
    <w:basedOn w:val="Normal"/>
    <w:uiPriority w:val="34"/>
    <w:qFormat/>
    <w:rsid w:val="00D0554B"/>
    <w:pPr>
      <w:ind w:left="720"/>
      <w:contextualSpacing/>
    </w:pPr>
  </w:style>
  <w:style w:type="paragraph" w:styleId="Sansinterligne">
    <w:name w:val="No Spacing"/>
    <w:link w:val="SansinterligneCar"/>
    <w:uiPriority w:val="1"/>
    <w:qFormat/>
    <w:rsid w:val="005B4DC7"/>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5B4DC7"/>
    <w:rPr>
      <w:rFonts w:eastAsiaTheme="minorEastAsia"/>
      <w:lang w:eastAsia="fr-BE"/>
    </w:rPr>
  </w:style>
  <w:style w:type="paragraph" w:styleId="Titre">
    <w:name w:val="Title"/>
    <w:basedOn w:val="Normal"/>
    <w:next w:val="Normal"/>
    <w:link w:val="TitreCar"/>
    <w:uiPriority w:val="10"/>
    <w:qFormat/>
    <w:rsid w:val="00A86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65C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A865C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865C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A865CD"/>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B43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252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522F"/>
    <w:rPr>
      <w:sz w:val="20"/>
      <w:szCs w:val="20"/>
    </w:rPr>
  </w:style>
  <w:style w:type="character" w:styleId="Appelnotedebasdep">
    <w:name w:val="footnote reference"/>
    <w:basedOn w:val="Policepardfaut"/>
    <w:uiPriority w:val="99"/>
    <w:semiHidden/>
    <w:unhideWhenUsed/>
    <w:rsid w:val="00E2522F"/>
    <w:rPr>
      <w:vertAlign w:val="superscript"/>
    </w:rPr>
  </w:style>
  <w:style w:type="paragraph" w:styleId="En-tte">
    <w:name w:val="header"/>
    <w:basedOn w:val="Normal"/>
    <w:link w:val="En-tteCar"/>
    <w:uiPriority w:val="99"/>
    <w:unhideWhenUsed/>
    <w:rsid w:val="00831DF5"/>
    <w:pPr>
      <w:tabs>
        <w:tab w:val="center" w:pos="4536"/>
        <w:tab w:val="right" w:pos="9072"/>
      </w:tabs>
      <w:spacing w:after="0" w:line="240" w:lineRule="auto"/>
    </w:pPr>
  </w:style>
  <w:style w:type="character" w:customStyle="1" w:styleId="En-tteCar">
    <w:name w:val="En-tête Car"/>
    <w:basedOn w:val="Policepardfaut"/>
    <w:link w:val="En-tte"/>
    <w:uiPriority w:val="99"/>
    <w:rsid w:val="00831DF5"/>
  </w:style>
  <w:style w:type="paragraph" w:styleId="Pieddepage">
    <w:name w:val="footer"/>
    <w:basedOn w:val="Normal"/>
    <w:link w:val="PieddepageCar"/>
    <w:uiPriority w:val="99"/>
    <w:unhideWhenUsed/>
    <w:rsid w:val="00831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DF5"/>
  </w:style>
  <w:style w:type="paragraph" w:styleId="Paragraphedeliste">
    <w:name w:val="List Paragraph"/>
    <w:basedOn w:val="Normal"/>
    <w:uiPriority w:val="34"/>
    <w:qFormat/>
    <w:rsid w:val="00D0554B"/>
    <w:pPr>
      <w:ind w:left="720"/>
      <w:contextualSpacing/>
    </w:pPr>
  </w:style>
  <w:style w:type="paragraph" w:styleId="Sansinterligne">
    <w:name w:val="No Spacing"/>
    <w:link w:val="SansinterligneCar"/>
    <w:uiPriority w:val="1"/>
    <w:qFormat/>
    <w:rsid w:val="005B4DC7"/>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5B4DC7"/>
    <w:rPr>
      <w:rFonts w:eastAsiaTheme="minorEastAsia"/>
      <w:lang w:eastAsia="fr-BE"/>
    </w:rPr>
  </w:style>
</w:styles>
</file>

<file path=word/webSettings.xml><?xml version="1.0" encoding="utf-8"?>
<w:webSettings xmlns:r="http://schemas.openxmlformats.org/officeDocument/2006/relationships" xmlns:w="http://schemas.openxmlformats.org/wordprocessingml/2006/main">
  <w:divs>
    <w:div w:id="35814579">
      <w:bodyDiv w:val="1"/>
      <w:marLeft w:val="0"/>
      <w:marRight w:val="0"/>
      <w:marTop w:val="0"/>
      <w:marBottom w:val="0"/>
      <w:divBdr>
        <w:top w:val="none" w:sz="0" w:space="0" w:color="auto"/>
        <w:left w:val="none" w:sz="0" w:space="0" w:color="auto"/>
        <w:bottom w:val="none" w:sz="0" w:space="0" w:color="auto"/>
        <w:right w:val="none" w:sz="0" w:space="0" w:color="auto"/>
      </w:divBdr>
    </w:div>
    <w:div w:id="271667773">
      <w:bodyDiv w:val="1"/>
      <w:marLeft w:val="0"/>
      <w:marRight w:val="0"/>
      <w:marTop w:val="0"/>
      <w:marBottom w:val="0"/>
      <w:divBdr>
        <w:top w:val="none" w:sz="0" w:space="0" w:color="auto"/>
        <w:left w:val="none" w:sz="0" w:space="0" w:color="auto"/>
        <w:bottom w:val="none" w:sz="0" w:space="0" w:color="auto"/>
        <w:right w:val="none" w:sz="0" w:space="0" w:color="auto"/>
      </w:divBdr>
    </w:div>
    <w:div w:id="277029471">
      <w:bodyDiv w:val="1"/>
      <w:marLeft w:val="0"/>
      <w:marRight w:val="0"/>
      <w:marTop w:val="0"/>
      <w:marBottom w:val="0"/>
      <w:divBdr>
        <w:top w:val="none" w:sz="0" w:space="0" w:color="auto"/>
        <w:left w:val="none" w:sz="0" w:space="0" w:color="auto"/>
        <w:bottom w:val="none" w:sz="0" w:space="0" w:color="auto"/>
        <w:right w:val="none" w:sz="0" w:space="0" w:color="auto"/>
      </w:divBdr>
    </w:div>
    <w:div w:id="324629570">
      <w:bodyDiv w:val="1"/>
      <w:marLeft w:val="0"/>
      <w:marRight w:val="0"/>
      <w:marTop w:val="0"/>
      <w:marBottom w:val="0"/>
      <w:divBdr>
        <w:top w:val="none" w:sz="0" w:space="0" w:color="auto"/>
        <w:left w:val="none" w:sz="0" w:space="0" w:color="auto"/>
        <w:bottom w:val="none" w:sz="0" w:space="0" w:color="auto"/>
        <w:right w:val="none" w:sz="0" w:space="0" w:color="auto"/>
      </w:divBdr>
    </w:div>
    <w:div w:id="414669293">
      <w:bodyDiv w:val="1"/>
      <w:marLeft w:val="0"/>
      <w:marRight w:val="0"/>
      <w:marTop w:val="0"/>
      <w:marBottom w:val="0"/>
      <w:divBdr>
        <w:top w:val="none" w:sz="0" w:space="0" w:color="auto"/>
        <w:left w:val="none" w:sz="0" w:space="0" w:color="auto"/>
        <w:bottom w:val="none" w:sz="0" w:space="0" w:color="auto"/>
        <w:right w:val="none" w:sz="0" w:space="0" w:color="auto"/>
      </w:divBdr>
    </w:div>
    <w:div w:id="698701649">
      <w:bodyDiv w:val="1"/>
      <w:marLeft w:val="0"/>
      <w:marRight w:val="0"/>
      <w:marTop w:val="0"/>
      <w:marBottom w:val="0"/>
      <w:divBdr>
        <w:top w:val="none" w:sz="0" w:space="0" w:color="auto"/>
        <w:left w:val="none" w:sz="0" w:space="0" w:color="auto"/>
        <w:bottom w:val="none" w:sz="0" w:space="0" w:color="auto"/>
        <w:right w:val="none" w:sz="0" w:space="0" w:color="auto"/>
      </w:divBdr>
    </w:div>
    <w:div w:id="1224096664">
      <w:bodyDiv w:val="1"/>
      <w:marLeft w:val="0"/>
      <w:marRight w:val="0"/>
      <w:marTop w:val="0"/>
      <w:marBottom w:val="0"/>
      <w:divBdr>
        <w:top w:val="none" w:sz="0" w:space="0" w:color="auto"/>
        <w:left w:val="none" w:sz="0" w:space="0" w:color="auto"/>
        <w:bottom w:val="none" w:sz="0" w:space="0" w:color="auto"/>
        <w:right w:val="none" w:sz="0" w:space="0" w:color="auto"/>
      </w:divBdr>
    </w:div>
    <w:div w:id="1550993854">
      <w:bodyDiv w:val="1"/>
      <w:marLeft w:val="0"/>
      <w:marRight w:val="0"/>
      <w:marTop w:val="0"/>
      <w:marBottom w:val="0"/>
      <w:divBdr>
        <w:top w:val="none" w:sz="0" w:space="0" w:color="auto"/>
        <w:left w:val="none" w:sz="0" w:space="0" w:color="auto"/>
        <w:bottom w:val="none" w:sz="0" w:space="0" w:color="auto"/>
        <w:right w:val="none" w:sz="0" w:space="0" w:color="auto"/>
      </w:divBdr>
    </w:div>
    <w:div w:id="1949462257">
      <w:bodyDiv w:val="1"/>
      <w:marLeft w:val="0"/>
      <w:marRight w:val="0"/>
      <w:marTop w:val="0"/>
      <w:marBottom w:val="0"/>
      <w:divBdr>
        <w:top w:val="none" w:sz="0" w:space="0" w:color="auto"/>
        <w:left w:val="none" w:sz="0" w:space="0" w:color="auto"/>
        <w:bottom w:val="none" w:sz="0" w:space="0" w:color="auto"/>
        <w:right w:val="none" w:sz="0" w:space="0" w:color="auto"/>
      </w:divBdr>
    </w:div>
    <w:div w:id="1954169797">
      <w:bodyDiv w:val="1"/>
      <w:marLeft w:val="0"/>
      <w:marRight w:val="0"/>
      <w:marTop w:val="0"/>
      <w:marBottom w:val="0"/>
      <w:divBdr>
        <w:top w:val="none" w:sz="0" w:space="0" w:color="auto"/>
        <w:left w:val="none" w:sz="0" w:space="0" w:color="auto"/>
        <w:bottom w:val="none" w:sz="0" w:space="0" w:color="auto"/>
        <w:right w:val="none" w:sz="0" w:space="0" w:color="auto"/>
      </w:divBdr>
    </w:div>
    <w:div w:id="21160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F645-8CC7-43A3-9CE6-09C2A87C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4289</Words>
  <Characters>23594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Marc Cools</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AVCB</dc:creator>
  <cp:lastModifiedBy>Marc Cools</cp:lastModifiedBy>
  <cp:revision>2</cp:revision>
  <cp:lastPrinted>2013-12-15T17:56:00Z</cp:lastPrinted>
  <dcterms:created xsi:type="dcterms:W3CDTF">2013-12-15T17:59:00Z</dcterms:created>
  <dcterms:modified xsi:type="dcterms:W3CDTF">2013-12-15T17:59:00Z</dcterms:modified>
</cp:coreProperties>
</file>